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840 vom 31. Mai 2022</w:t>
      </w:r>
    </w:p>
    <w:p>
      <w:r>
        <w:t>VD Tribunal cantonal, 2022-05-31, FR</w:t>
      </w:r>
    </w:p>
    <w:p>
      <w:r>
        <w:rPr>
          <w:b/>
        </w:rPr>
        <w:t xml:space="preserve">Quelle: </w:t>
      </w:r>
      <w:r>
        <w:t>https://mcp.opencaselaw.ch/entscheid/vd_findinfo_HC___2021___840</w:t>
      </w:r>
    </w:p>
    <w:p>
      <w:r>
        <w:t>FR: VD_FINDINFO HC / 2021 / 840 du 31 mai 2022</w:t>
      </w:r>
    </w:p>
    <w:p>
      <w:r>
        <w:t>IT: VD_FINDINFO HC / 2021 / 840 del 31 maggio 2022</w:t>
      </w:r>
    </w:p>
    <w:p>
      <w:pPr>
        <w:pStyle w:val="Heading2"/>
      </w:pPr>
      <w:r>
        <w:t>Regeste</w:t>
      </w:r>
    </w:p>
    <w:p>
      <w:r>
        <w:t>DIVORCE, RELATIONS PERSONNELLES, PRÉVOYANCE PROFESSIONNELLE SELON LA LPP, PARTAGE{SENS GÉNÉRAL}, AUDITION DE L'ENFANT | 124b al. 2 CC, 298 CC, 308 al. 1 let. a CPC (CH), 308 al. 2 CPC (CH)</w:t>
      </w:r>
    </w:p>
    <w:p>
      <w:pPr>
        <w:pStyle w:val="Heading2"/>
      </w:pPr>
      <w:r>
        <w:t>Erwägungen</w:t>
      </w:r>
    </w:p>
    <w:p>
      <w:r>
        <w:rPr>
          <w:b/>
        </w:rPr>
        <w:t>E. 9</w:t>
      </w:r>
    </w:p>
    <w:p>
      <w:r>
        <w:t>L’appelant fait valoir qu’il n’aurait pu prendre de conclusions chiffrées au sujet de la liquidation du régime matrimonial au motif que l’intimée aurait refusé de produire les documents requis à cet effet et aurait ainsi violé son devoir d’information au sens de l’art. 170 CC. Il estime que les premiers juges auraient fait preuve de formalisme excessif en exigeant un rattachement des pièces produites par l’intimée à des allégués. Il reproche en outre à l’intimée d’avoir modifié ses conclusions pour renoncer au partage des biens résultant de la liquidation du régime matrimonial, changement qui aurait été tardif et contraire aux art. 227 et 230 CPC. Il reprend en outre ses conclusions tendant à la production de pièces de la part de l’intimée au sujet de sa situation financière, ainsi que le contenu intégral d’une lettre adressée au président le 10 juin 2020 par laquelle il requérait de tels documents. En l’occurrence, la motivation de l’appelant est peu compréhensible, voire lacunaire, car il ne précise pas les allégués contenant les faits à l’appui desquels les documents requis auraient dû être produits. Il n’expose pas non plus en quoi ces documents seraient pertinents pour la liquidation du régime matrimonial des parties. De plus, il s’exprime confusément au sujet des exigences procédurales qu’il conteste, en particulier ne motive pas à satisfaction en quoi les art. 227 et 230 CPC seraient violés, ni ne démontre en quoi le raisonnement détaillé et convaincant des premiers juges serait erroné et empreint de formalisme excessif. Tout d’abord, ces derniers ont rappelé les règles de procédure applicables dans le cadre d’une procédure ordinaire soumise à la maxime de disposition et précisé les exigences quant à l’allégation des faits, les preuves à produire à leur appui et le fardeau de la preuve. Ils ont également rappelé l’importance de chiffrer les conclusions s’agissant de prétentions en argent, ou du moins de le faire dès que le justiciable est en mesure de le faire. Puis, les magistrats ont exposé les règles de fond applicables à la liquidation du régime matrimonial, laquelle est régie par la maxime des débats. Au vu des règles de droit applicables, ils ont expliqué les éléments pertinents à alléguer pour la liquidation du régime matrimonial, en particulier celui de la valeur des biens composant les masses au jour de la dissolution du régime matrimonial. Ils ont ensuite décrit les lacunes procédurales des écritures des parties et repris les décisions relatives à l’administration des preuves adressées aux parties au sujet de leur situation financière. Ils ont ainsi considéré que, d’une part, les deux pièces nos 37 et 41 produites par l’intimée, auxquelles se réfère l’appelant, ne pouvaient être rattachées à aucun allégué, ce qui résulte en effet des écritures de première instance, et que, d’autre part, ces pièces n’attestaient pas d’une quelconque valeur au jour de la dissolution du régime matrimonial, à savoir le 9 mars 2017. Ils ont ainsi à raison rejeté les conclusions de l’appelant et considéré le régime matrimonial dissous et liquidé, au vu de la conclusion de l’intimée prise dans ses conclusions finales du 22 juin 2020 en vue de confirmer sa conclusion prise dans sa réplique du 9 mars 2017, tendant à ce que la liquidation du régime matrimonial soit ordonnée. Au demeurant, l’appelant ne motive pas clairement en quoi la jurisprudence qu’il cite serait pertinente. S’agissant de la prétendue violation par l’intimée de son devoir d’informer l’appelant sur sa situation financière, celui-ci n’explique pas quels sont les éléments qu’elle aurait dû communiquer et qui auraient eu une incidence sur la liquidation du régime matrimonial. Enfin, à sa missive du 10 juin 2020 reprise intégralement dans son appel, le président avait répondu le 12 juin 2020 en rappelant aux parties que l’audience de jugement avait été fixée au 31 janvier 2020 et qu’il avait fallu fixer une audience de reprise pour compléter le dossier et mettre à jour les situations financières. Le président informait les parties qu’elles n’avaient pas produit l’entier des documents dans les délais impartis, soit de dix jours avant l’audience du 2 juillet 2020, et que le tribunal ferait application des conséquences procédurales liées à ce défaut. Or, l’appelant n’apporte aucun complément de motivation. Par conséquent, faute de motivation claire et compréhensible, son grief semble irrecevable. Dans tous les cas, le grief doit être rejeté, au vu de la motivation des premiers juges qui ne prête pas le flanc à la critique.</w:t>
      </w:r>
    </w:p>
    <w:p>
      <w:r>
        <w:rPr>
          <w:b/>
        </w:rPr>
        <w:t>E. 10.1</w:t>
      </w:r>
    </w:p>
    <w:p>
      <w:r>
        <w:t>L’appelant reproche aux premiers juges d’avoir refusé le partage de la prévoyance professionnelle de l’intimée. Il invoque une violation des art. 122, 123, 124b et 124c CC, en particulier de l’art. 124b al. 2 ch. 1 CC dans la mesure où il a été débouté dans ses conclusions en liquidation du régime matrimonial et que sa situation ne serait pas meilleure après le divorce. Selon lui, il ne pouvait pas être débouté dans ses conclusions portant sur les deux objets. Soit il l’était s’agissant de la liquidation du régime matrimonial, soit s’agissant du partage de la prévoyance professionnelle. En outre, il réfute avoir violé son obligation d’entretien. Il prétend, d’une part, avoir proposé de verser une contribution dans la mesure où il recevait régulièrement de l’argent de ses parents en Algérie et avoir souvent offert des cadeaux à son fils, tels que Iphone et vêtements et, d’autre part, ne pas avoir les moyens suffisants pour exécuter une telle obligation. Il ajoute que même s’il avait violé cette obligation d’entretien, elle ne concernerait qu’un montant minime de sorte qu’elle ne justifierait pas le refus du partage par moitié des avoirs de prévoyance professionnelle de l’intimée. Il ajoute que s’il avait toujours effectué des missions de courte durée, il n’aurait jamais travaillé au noir. Pour sa part, l’intimée fait valoir qu’il n’y avait pas d’acquêts à partager, d’où le rejet par les premiers juges des conclusions de l’appelant prises en liquidation du régime matrimonial. En outre, les premiers juges auraient, à juste titre, refusé pour des raisons manifestes d’équité, de partager l’avoir LPP qu’elle avait accumulé pendant le mariage. Elle prétend que l’appelant n’aurait jamais recherché un emploi lui permettant de cotiser lui-même à la prévoyance professionnelle, qu’il n’aurait guère contribué à l’entretien de son fils, qu’elle avait elle-même assumé, et que, compte tenu de son âge, l’appelant aurait encore le temps de se constituer une prévoyance professionnelle.</w:t>
      </w:r>
    </w:p>
    <w:p>
      <w:r>
        <w:rPr>
          <w:b/>
        </w:rPr>
        <w:t>E. 10.2</w:t>
      </w:r>
    </w:p>
    <w:p>
      <w:r>
        <w:t>Les premiers juges ont considéré que la raison pour laquelle l’appelant n’avait pas cotisé à la prévoyance professionnelle était sans importance, puisqu’il y avait lieu de refuser le partage des avoirs accumulés par l’intimée. Ils ont retenu qu’un partage serait choquant, vu que l’appelant avait violé son obligation d’entretien, pourtant d’un montant minime, alors que l’intimée s’occupait seule intégralement de leur fils et qu’elle aurait même pu prétendre exercer en sa faveur le droit découlant de l’art. 124b al. 3 CC si l’appelant avait bénéficié d’un avoir de prévoyance professionnelle. De plus, selon les magistrats, le montant de 13'500 fr. est insignifiant au vu de l’âge de l’appelant qui est largement en mesure de se constituer une prévoyance professionnelle équivalente en un temps approprié.</w:t>
      </w:r>
    </w:p>
    <w:p>
      <w:r>
        <w:rPr>
          <w:b/>
        </w:rPr>
        <w:t>E. 10.3.1</w:t>
      </w:r>
    </w:p>
    <w:p>
      <w:r>
        <w:t>A titre préliminaire, il convient de préciser que la maxime d’office et la maxime inquisitoire (sociale) s’imposent uniquement devant le premier juge et ne s’appliquent pas devant l’autorité de deuxième instance (TF 5A_952/2019 du 2 décembre 2020 consid. 3.3 ; 5A_912/2019 du 13 juillet 2020 consid. 3.3 ; 5A_478/2016 du 10 mars 2017 consid. 10.1).</w:t>
      </w:r>
    </w:p>
    <w:p>
      <w:r>
        <w:rPr>
          <w:b/>
        </w:rPr>
        <w:t>E. 10.3.2</w:t>
      </w:r>
    </w:p>
    <w:p>
      <w:r>
        <w:t>Selon le principe de l’art. 122 al. 1 CC, les prétentions de prévoyance professionnelle acquises durant le mariage et jusqu’à l’introduction de la procédure de divorce sont partagées entre les époux, le partage par moitié des prestations de sortie, y compris des avoirs de libre passage, étant prévu à l’art. 123 CC. Selon cette disposition, les prestations de sortie acquises, y compris les avoirs de libre passage et les versements anticipés pour la propriété du logement, sont partagées par moitié (al. 1), cet alinéa ne s’appliquant pas aux versements uniques issus de biens propres de par la loi (al. 2), et les prestations de sortie à partager se calculent conformément aux art. 15 à 17 et 22a ou 22b de la loi du 17 décembre 1993 sur le libre passage (al. 3). En d’autres termes, le moment déterminant pour le partage est celui du dépôt d’une requête commune ou d’une demande unilatérale tendant au divorce (art. 274 CPC), de sorte que les prestations de prévoyance professionnelle accumulées durant la procédure de divorce ne sont pas partagées (ATF 145 III 169 consid. 3.1). Ainsi le montant à partager de la prestation de sortie, y compris les avoirs de libre passage, équivaudra à un montant accumulé depuis la date du mariage jusqu’à la date du dépôt de la demande unilatérale tendant au divorce. En l’absence de convention et si le montant des prestations de sortie est fixé, le tribunal statue sur le partage conformément aux dispositions du CC précitées, en relation avec les art. 22 et 22a LLP, établit le montant à transférer et demande aux institutions de prévoyance professionnelle concernées, en leur fixant un délai à cet effet, une attestation du caractère réalisable du régime envisagé (art. 281 al. CPC). Dans les autres cas d’absence de convention, le tribunal, à l’entrée en force de la décision sur le partage, défère d’office l’affaire au tribunal compétent en vertu de la LFLP et lui communique en particulier (al. 3) : la décision relative au partage (let. a), la date du mariage et celle du divorce (let. b), le nom des institutions de prévoyance professionnelle auprès desquelles les conjoints ont vraisemblablement des avoirs et le montant de ces avoirs (let. c) et le nom des institutions de prévoyance professionnelle qui versent des rentes aux époux, le montant de ces rentes et les parts de rente allouées (let. d).</w:t>
      </w:r>
    </w:p>
    <w:p>
      <w:r>
        <w:rPr>
          <w:b/>
        </w:rPr>
        <w:t>E. 10.3.3</w:t>
      </w:r>
    </w:p>
    <w:p>
      <w:r>
        <w:t>L’art. 124b CC prévoit des exceptions au principe du partage par moitié des prétentions des prévoyance professionnelle. Notamment,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Il y a justes motifs au sens de cette disposition lorsqu’une comparaison de la situation de prévoyance après partage amène à considérer que le résultat serait choquant pour l’un des époux (TF 5A_868/2019 du 23 novembre 2020 consid. 5.2). Il s’agit donc de comparer les situations de prévoyance respectives des époux et l’influence du partage à cet égard. Dans un premier temps, le juge doit rechercher le résultat d’un partage par moitié, puis, s’il estime ce résultat inique, expliquer pourquoi il convient de s’en écarter (Jungo/Grütter, in Schwenzer/Fankhauser (édit.), FamKommentar Scheidung, vol. I. 3 e éd. 2017 [ci-après : FamKom Scheidung], n. 9 ad art. 124b CC). Dans le cadre de cet examen, le juge doit prendre en compte l’ensemble des éléments de revenus et de fortune des époux (TF 5A_868/2019 du 23 novembre 2020 consid. 5.2). L’iniquité se mesure à l’aune des besoins de prévoyance professionnelle de l’un et l’autre conjoint (TF 5A_194/2020 du 5 novembre 2020 consid. 4.1.1). Il est important de veiller à ce que chaque conjoint dispose d’une pension de retraite suffisante. Le partage est donc inéquitable lorsque l’un des époux subit des désavantages flagrants par rapport à l’autre conjoint (TF 5A_194/2020 du 5 novembre 2020 consid. 4.1.1). Comme exemple de motifs de refus de partage par moitié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 manifestement inéquitable (Pichonnaz, Commentaire romand CC I, Bâle 2010, n. 33 ad art. 123 aCC ; Ferreira, in Bohnet/Guillod [éd.], Commentaire pratique, Droit matrimonial : fond et procédure, 2016, nn. 16 et 17 ad art. 123 CC ; Geiser, in Geiser/Fountoulakis (édit.), Basler Kommentar Zivilgesetzbuch, vol. I, 6 e éd. 2018, n. 19 ad art. 124b CC). De même, il y a iniquité lorsque l'un des époux est employé et dispose d'un revenu et d'un deuxième pilier modeste, tandis que l'autre conjoint est indépendant, ne dispose pas d'un deuxième pilier, mais se porte beaucoup mieux financièrement (Message du Conseil fédéral concernant la révision du Code civil suisse [partage de la prévoyance professionnelle en cas de divorce] du 29 mai 2013, FF 2013 4341 [cité : FF 2013], p. 4371 ; Jungo/Grütter, op. cit., n. 14 ad art. 124b CC). Est ainsi cité le cas d’un époux avocat indépendant disposant d’un très bon troisième pilier, dont l’épouse ne profite pas en raison du régime de la séparation de biens adopté par les parties, alors que cette dernière est employée et devrait partager son deuxième pilier (Geiser, op. cit., n. 19 ad art. 124b CC). En revanche, la Cour de céans et le Tribunal fédéral ont confirmé le refus de partage par moitié, dans un cas où les premiers juges avaient retenu que les avoirs LPP de l’épouse s’élevaient à 54'275 fr. 35 alors que ceux de l’appelant s’élevaient à 15'107 fr. 81 et considéré que la répartition par moitié serait inéquitable. Ils avaient tenu compte du fait que l’époux avait admis avoir effectué des investissements au Cameroun avec son salaire, l’instruction n’ayant toutefois pas permis d’établir leur montant exact, et que l’épouse n’avait pas pu conclure à une quelconque prétention de ce chef (CACI du 5 février 2020 consid. 4.3, confirmé par TF 5A_194/2020 du 5 novembre 2020 consid. 4.1.1). Quant à la situation économique des époux après le divorce, elle doit être appréciée de manière globale : elle ne peut se limiter à la constatation d’une différence de fortune entre les époux ou en fonction des seules ressources des parties (TF 5A_2011/2020 du 3 novembre 2020 consid. 4.5 ; TF 5A_819/2020 du 13 octobre 2020 consid. 3.2.1). L’art. 124b al. 2 CC ne dresse pas une liste exhaustive des justes motifs pour lesquels le juge peut renoncer au partage par moitié (FF 2013 pp. 4341, spéc. 4371). Dans son message, le Conseil fédéral a relevé que l’application de cette disposition ne devait pas vider de sa substance le principe du partage par moitié (FF 2013 pp. 4341, spéc. 4371 ad art. 124b CC), le partage de la prévoyance professionnelle devant, dans l’idéal, permettre aux deux conjoints de disposer d’un avoir de prévoyance de qualité égale (FF 2013 pp. 4341, spéc. 4349). Néanmoins, le législateur a clairement souhaité que le fait, pour un époux, d’avoir gravement violé son obligation de contribuer à l’entretien de la famille puisse constituer un juste motif au sens de l’art. 124b al. 2 CC (ATF 145 III 56 consid. 5.3.2 ; TF 5A_194/2020 du 5 novembre 2020 consid. 4.1.1 ; TF 5A_694/2018 du 11 novembre 2019 consid. 4.1). Ainsi, le juge du divorce a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réf. cit.). Ni l’attitude des époux pendant le mariage ni les circonstances qui ont conduit au divorce ne peuvent généralement justifier de refuser le partage par moitié ou de s’en écarter (Geiser, op. cit., n. 23 ad art. 124b CC ; cf. également, sous l’ancien droit, TF 5A_804/2016 du 26 janvier 2017 consid. 3.1.2). Cette prétention en partage par moitié est également indépendante de la répartition des rôles pendant l’union conjugale (Geiser, ibidem ), de même du fait qu’un époux n’aurait exercé qu’une activité lucrative à temps partiel ou aucune (ATF 129 III 577 consid. 4.3).</w:t>
      </w:r>
    </w:p>
    <w:p>
      <w:r>
        <w:rPr>
          <w:b/>
        </w:rPr>
        <w:t>E. 10.4.1</w:t>
      </w:r>
    </w:p>
    <w:p>
      <w:r>
        <w:t>En l’espèce, le montant de l’avoir LPP de l’intimée à la date du mariage, le [...] 2009, est inconnu, ou du moins ne ressort pas du dossier. Il en est de même s’agissant du montant de cet avoir à la date du dépôt de la demande unilatérale tendant au divorce, le 9 mars 2017. Les montants connus pour la prestation de libre passage de l’intimée sont celui de 22'771 fr. 25 (pièce 17) en date du 25 août 2016, celui de 22'817 fr. 78 en date du 4 mai 2018 (pièce 40) et celui de 27'507 fr. 05 en date du 1 er avril 2019 (pièce 39). De plus, l’on ne sait pas si le partage de l’avoir LPP peut être exécuté. En l’occurrence, par réponse du 28 août 2017, l’appelant a conclu en première instance au partage par moitié de l’avoir LPP de l’intimée et a requis la production de la part de l’intimée de toutes pièces justifiant de sa situation financière, en particulier ses avoirs LPP accumulés pendant le mariage, requête réitérée à l’audience de premières plaidoiries du 3 mars 2018. Par ordonnance de preuves du 27 mars 2018, un délai au 30 avril 2018 a été fixé à l’intimée pour produire l’attestation de libre passage LPP de son avoir de prévoyance professionnelle, sans que les dates de la période d’accumulation de cet avoir ne soient précisées. On ne peut reprocher à l’appelant de ne pas avoir soulevé cette absence de précision, dès lors qu’il a lui-même requis la production de la part de l’intimée de toute pièce justifiant de ses avoirs accumulés pendant le mariage et que l’autorité de première instance est tenue d’instruire sur cet élément en application de la maxime inquisitoire sociale, voire d’établir les faits d’office en application de l’art. 277 al. 3 CPC. Cependant, ce n’est pas le montant de 27'507 fr. 05 accumulé au 1 er avril 2019, tel qu’allégué par l’appelant et non contesté par l’intimée, qui devrait être partagé par moitié, mais seul l’avoir de prévoyance professionnelle de l’intimée accumulé du [...] 2009 jusqu’au 9 mars 2017 qui devrait l’être. Partant, le grief de l’appelant quant à la quotité de l’avoir de la prévoyance professionnelle à partager de l’intimée doit être rejeté.</w:t>
      </w:r>
    </w:p>
    <w:p>
      <w:r>
        <w:rPr>
          <w:b/>
        </w:rPr>
        <w:t>E. 10.4.2</w:t>
      </w:r>
    </w:p>
    <w:p>
      <w:r>
        <w:t>S’agissant du partage par moitié de l’avoir LPP de l’intimée en faveur de son époux, ce principe doit être appliqué en l’espèce. D’une part, aucun élément au dossier ne permet d’établir que la situation financière de l’appelant serait plus favorable que celle de l’intimée à la suite de la liquidation du régime matrimonial au point qu’il serait choquant de partager l’avoir LPP de l’intimée, cela même en tenant compte d’une estimation de cet avoir de l’ordre de 22'790 francs (moyenne des avoirs connus en date des 25 août 2016 et 4 mai 2018). D’autre part, il ressort du dossier qu’au vu de la situation économique globale des parties, le partage par moitié de l’avoir LPP de l’intimée n’aboutit pas à un résultat choquant. Chaque partie aura un montant estimé de l’ordre de 11'385 fr. 63 sur son compte LPP et chacun est en âge d’accroître son deuxième pilier. Agée de presque 38 ans, l’intimée ayant une activité professionnelle, et l’appelant, âgé de quelque 44 ans – d’ailleurs invité à retrouver une activité professionnelle dès lors qu’un revenu hypothétique lui est imputé – pourront continuer à constituer un 2e pilier pendant encore au moins 20 ans. Contrairement à ce que soutient l’intimée, l’attitude de l’appelant pendant la vie conjugale, en particulier son absence de régularité dans une activité professionnelle, ne suffit pas pour déroger au principe du partage par moitié de l’avoir LPP. Ainsi, le fait de ne pas avoir versé de contribution d’entretien de la part de l’appelant en faveur de son fils, ou de ne l’avoir fait que partiellement, ne peut être apprécié comme une violation grave de son obligation d’entretien de la famille, d’autant que le montant de 976 fr. dû par l’appelant à titre d’arriéré de pension est relativement modeste. Quant à l’impossibilité pour l’intimée d’exercer le droit prévu à l’art. 124b al. 3 CC, ce motif n’est pas pertinent dès lors que la possibilité d’exercer ce droit ne constitue pas un juste motif de refus du partage de la prévoyance professionnelle accumulée durant le mariage. Par conséquent, le grief de l’appelant sur le principe de partager par moitié l’avoir de prévoyance professionnelle de l’intimée doit être admis.</w:t>
      </w:r>
    </w:p>
    <w:p>
      <w:r>
        <w:rPr>
          <w:b/>
        </w:rPr>
        <w:t>E. 10.4.3</w:t>
      </w:r>
    </w:p>
    <w:p>
      <w:r>
        <w:t>Le montant de l’avoir de prévoyance professionnelle accumulé par l’intimée pendant la durée du mariage jusqu’au dépôt de la demande unilatérale de divorce, soit du [...] 2009 au 9 mars 2017, n’étant pas établi, la Cour de céans ne peut se prononcer que sur le principe du partage par moitié. Dès lors que seuls sont connus les montants concernant la prestation de libre passage de l’intimée de 22'771 fr. 25 (pièce 17) en date du 25 août 2016 et de 27'507 fr. 05 en date du 1 er avril 2019 (pièce 39), tels que retenus dans le jugement querellé, et de 22'817 fr. 78 en date du 4 mai 2018 ressortant de la pièce 40 produite par l’intimée sous bordereau du 17 juin 2020, il convient de confier, en application des art. 281 al. 3 CPC, 25a LFLP (loi sur le libre passage du 17 décembre 1993 ; RS 831.42) et 73 LPP (loi fédérale sur la prévoyance professionnelle vieillesse, survivants et invalidité du 25 juin 1982 ; RS 831.40), ce partage à l’autorité suisse compétente, disposant des pouvoirs d’instruction utiles, en l’invitant à déterminer le montant de l’avoir LPP accumulé par l’intimée entre la date du mariage et celle du dépôt de la demande unilatérale en divorce (cf. CACI 11 juillet 2018/403 consid. 4 ; CACI 29 avril 2014/217 consid. 5).</w:t>
      </w:r>
    </w:p>
    <w:p>
      <w:r>
        <w:rPr>
          <w:b/>
        </w:rPr>
        <w:t>E. 11.1</w:t>
      </w:r>
    </w:p>
    <w:p>
      <w:r>
        <w:t>L’appelant soutient encore que les dépens de première instance devraient être compensés compte tenu de la situation financière de chaque époux et du fait que l’intimée aurait recouru plus fréquemment au juge. Il n’invoque toutefois rien s’agissant des conséquences de l’admission du motif relatif au partage par moitié de l’avoir LPP de l’intimée sur la répartition des dépens.</w:t>
      </w:r>
    </w:p>
    <w:p>
      <w:r>
        <w:rPr>
          <w:b/>
        </w:rPr>
        <w:t>E. 11.2</w:t>
      </w:r>
    </w:p>
    <w:p>
      <w:r>
        <w:t>Les dépens consistent en une indemnité que doit payer la partie perdante à la partie gagnante et qui couvre les frais indispensables que le litige a occasionnés à celle-ci (Tappy, CR-CPC, n. 21 ad art. 95 CPC ; Hohl, Procédure civile, T. II, 2 e éd., 2010, n° 643). Selon l’art. 95 al. 3 CPC, les dépens comprennent notamment les débours nécessaires et le défraiement d’un représentant professionnel (Tappy, op. cit., nn. 23 ss et nn. 26 ss ; Hohl, op. cit., n° 644). Une partie est condamnée au paiement des dépens selon l’art. 106 CC, celle qui succombe étant condamnée au paiement des dépens de son adversaire (al. 1) et, lorsqu’aucune des parties n’a entièrement gain de cause, les dépens pouvant être répartis proportionnellement (al. 2). Aux termes de l’art. 107 al. 1 CPC, le tribunal peut s’écarter des règles générales et répartir les frais selon sa libre appréciation lorsque le litige relève du droit de la famille (let. c) ou lorsque des circonstances particulières rendent la répartition en fonction du sort de la cause inéquitable (f). Selon l’art. 108 CPC, les frais causés inutilement sont mis à la charge de la personne qui les a engendrés.</w:t>
      </w:r>
    </w:p>
    <w:p>
      <w:r>
        <w:rPr>
          <w:b/>
        </w:rPr>
        <w:t>E. 11.3</w:t>
      </w:r>
    </w:p>
    <w:p>
      <w:r>
        <w:t>En l’espèce, il s’avère effectivement qu’il ressort de l’expertise judiciaire que l’intimée a souvent eu besoin de recourir à des décisions judiciaires. Toutefois, il ressort également de cette expertise que l’intimée a agi de la sorte en raison du comportement de l’appelant. Or, ce dernier n’allègue pas que l’intimée aurait causé des frais inutilement ni ne démontre que ses requêtes judiciaires auraient été inutiles. Au contraire, celles-ci ont été admises à titre superprovisionnel et provisionnel. Quant à la situation financière des époux, ce motif n’est pas suffisant pour justifier la compensation des dépens. Partant, sous cet angle, les dépens de première instance ne doivent pas être compensés entre les parties. De surcroît, si l’appelant a eu gain de cause à la suite de la réforme du jugement de première instance en ce sens que l’avoir LPP de l’intimée doit être partagé par moitié, cela ne justifie pas non plus de compenser ou de modifier la répartition des dépens. Si le juge doit appliquer le droit d’office, sans se limiter aux motifs avancés par les parties en application de l’art. 57 CPC, il doit le faire dès l’instant où une conclusion est motivée de manière suffisante (Bohnet, CPC annoté, 2016, n. 1 ad art. 57 CPC). En l’occurrence, l’appelant ne fait pas valoir ce fait pour justifier une compensation des dépens ni pour modifier leur répartition ni ne précise dans quelle proportion cette répartition devrait l’être, le cas échéant. Par conséquent, le grief de l’appelant doit être rejeté.</w:t>
      </w:r>
    </w:p>
    <w:p>
      <w:r>
        <w:rPr>
          <w:b/>
        </w:rPr>
        <w:t>E. 12</w:t>
      </w:r>
    </w:p>
    <w:p>
      <w:r>
        <w:t>Enfin, si l’appelant a conclu à l’annulation des chiffres IX et X du dispositif du jugement entrepris, il n’a présenté aucune motivation sur leur objet. Par conséquent, ses conclusions (chiffrées 8 et 9) sont irrecevables.</w:t>
      </w:r>
    </w:p>
    <w:p>
      <w:r>
        <w:rPr>
          <w:b/>
        </w:rPr>
        <w:t>E. 13</w:t>
      </w:r>
    </w:p>
    <w:p>
      <w:r>
        <w:t>Au vu de ce qui précède, l’appel doit être partiellement admis et le jugement entrepris réformé au chiffre XII de son dispositif dans le sens des considérants qui précèdent, en particulier du considérant 10.4, les autres chiffres du dispositif étant confirmés.</w:t>
      </w:r>
    </w:p>
    <w:p>
      <w:r>
        <w:rPr>
          <w:b/>
        </w:rPr>
        <w:t>E. 13.1</w:t>
      </w:r>
    </w:p>
    <w:p>
      <w:r>
        <w:t>Le chiffre XII est modifié en ce sens que les avoirs de prévoyance professionnelle de l’intimée accumulés du [...] 2009 au 9 mars 2017 sont répartis par moitié entre les parties.</w:t>
      </w:r>
    </w:p>
    <w:p>
      <w:r>
        <w:rPr>
          <w:b/>
        </w:rPr>
        <w:t>E. 13.2</w:t>
      </w:r>
    </w:p>
    <w:p>
      <w:r>
        <w:t>Le chiffre XIIbis est ajouté en ce sens que le dossier de la cause est transmis à la Cour des assurances sociales du Tribunal cantonal pour qu’elle procède au partage, sur la base des informations détaillées au point précédent, complétées par ce qui suit (art. 281 al. 3 CPC). Du 1 er juin 2010 au 31 janvier 2016, l’intimée a été affilié au [...]. Selon le décompte cette institution, l’avoir est inconnu à la date du mariage, l’épargne accumulée au 1 er janvier 2016 est de 22'160 fr. 70 et, au 31 janvier 2016, la prestation de sortie est de 22'611 fr. 10. Le 25 août 2016, cette institution de prévoyance a transféré la prestation de libre passage accumulée d’un montant de 22'771 fr. 25 auprès de la Fondation [...] LPP, Administration des comptes de libre passage, PostFinance [...], Case postale, [...]. Le 4 mai 2018, la Fondation [...] LPP a transféré la prestation de sortie de 22'817 fr. 78 à l’institution de prévoyance [...] AG, [...] Postfach [...] et, le 7 mai 2018, elle a soldé le compte de libre passage no [...] de l’intimée. Dès le 2 juillet 2018, l’intimée a été assurée auprès de la Caisse de pension [...]. En date du 1 er avril 2019, l’avoir total de vieillesse de l’intimée était de 27'507 fr. 05, dont une part LPP de 19'842 fr. 70. Le 21 janvier 2020, l’appelant a ouvert un compte de libre passage auprès de [...] Fondation de libre passage, compte postal [...]/IBAN [...] (pièce 154).</w:t>
      </w:r>
    </w:p>
    <w:p>
      <w:r>
        <w:rPr>
          <w:b/>
        </w:rPr>
        <w:t>E. 14</w:t>
      </w:r>
    </w:p>
    <w:p>
      <w:r>
        <w:t>Les frais judiciaires de deuxième instance, arrêtés à 600 fr. (art. 63 al. 1 TFJC [tarif des frais judiciaires civils du 28 septembre 2010 ; BSL 270.11.5) seront mis à la charge de l’appelant à hauteur de cinq sixièmes (500 fr.), dès lors qu’il n’a gain de cause que sur le principe par moitié de l’avoir de prévoyance professionnelle et succombe sur tous les autres griefs, et à la charge de l’intimée à hauteur d’un cinquième (100 fr. ; art. 106 al. 2 CPC), mais, provisoirement laissés à la charge de l’Etat (art. 122 al.1 let. b CPC), dès lors que les requêtes d’assistance judiciaire de chacune des parties doivent être admises pour la procédure d’appel en application de l’art. 117 let. a et b CPC . Compte tenu de sa situation financière, la requête d’assistance judiciaire de l’intimée sera en effet admise, avec effet au 18 janvier 2022, Me Bernadette Schindler Velasco étant désignée en qualité de conseil d’office. De pleins dépens pour la procédure de deuxième instance peuvent être estimés à 2'400 fr. pour chaque partie (art. 7 et 9 TDC [tarif des dépens en matière civile du 23 novembre 2010 ; BLV 270.11.6]). Compte tenu de l’issue de la procédure d’appel, l’appelant versera à l’intimée, après compensation, des dépens réduits de 1'600 fr. (2'400 fr. x [5/6 – 1/6]) ; art. 106 al. 2 et 122 al. 1 let. d CPC ; cf. infra consid. 15).</w:t>
      </w:r>
    </w:p>
    <w:p>
      <w:r>
        <w:rPr>
          <w:b/>
        </w:rPr>
        <w:t>E. 15.1</w:t>
      </w:r>
    </w:p>
    <w:p>
      <w:r>
        <w:t>En leur qualité de conseils d’office des parties, Me Fateh Boudiaf et Me Bernadette Schindler Velasco ont droit à une rémunération équitable pour les opérations et débours de la procédure d’appel (art. 122 al. 1 let. a CPC).</w:t>
      </w:r>
    </w:p>
    <w:p>
      <w:r>
        <w:rPr>
          <w:b/>
        </w:rPr>
        <w:t>E. 15.2</w:t>
      </w:r>
    </w:p>
    <w:p>
      <w:r>
        <w:t>L’assistance judiciaire est en principe accordée dès le moment de la requête et pour l'avenir, sous réserve des démarches entreprises simultanément ou peu avant (Colombini, Code de procédure civile, Condensé de la jurisprudence fédérale et vaudoise, 2018, n. 5.1 ad art. 119 CPC et réf. cit.). Sont couvertes les opérations du conseil en relation avec une écriture déposée simultanément avec la requête, ainsi que les opérations préalables nécessaires à ce but et celles nécessaires pour l’établissement de la requête d’assistance judiciaire elle-même (TF 5A_181/2012 du 27 juin 2012 consid. 2.3.3 ; cf. CREC 19 juillet 2019/211 ; CCUR 6 septembre 2018/162 consid. 3.2 ; Colombini, ibidem ).</w:t>
      </w:r>
    </w:p>
    <w:p>
      <w:r>
        <w:rPr>
          <w:b/>
        </w:rPr>
        <w:t>E. 15.3.1</w:t>
      </w:r>
    </w:p>
    <w:p>
      <w:r>
        <w:t>Me Fateh Boudiaf a produit une liste des opérations dans laquelle il indique avoir consacré 25 heures et 55 minutes à ce dossier du 20 avril 2021 au 7 mars 2022. Concernant les opérations des 20 avril et 10 mai 2021, antérieures au 11 mai 2021, date de la demande d’assistance judiciaire, mais constituent des démarches liées au dépôt de l’acte d’appel le 14 mai 2021. Toutefois, l’avocat indique deux heures de conférences avec le client et un forfait de téléphones à raison d’une heure. Compte tenu des deux heures de conférence avec le client à trois semaines d’intervalles (la première le 20 avril et la seconde le 10 mai), un forfait d’une heure de téléphones pendant cette même période paraît d’une durée excessive dès lors que les informations nécessaires à la rédaction de l’appel avaient pu être transmises par l’avocat à son client au cours des deux conférences. Dès lors que Me Boudiaf n’indique pas les dates de telles discussions téléphoniques, ce qui aurait permis de percevoir leur utilité, il n’y a pas lieu de retenir une heure forfaitaire à titre de téléphones (- 1 heure). S’agissant des 20 heures indiquées pour les recherches et la rédaction du mémoire d’appel, ce temps est excessif au vu de l’absence de difficultés de la cause et de la connaissance du dossier par l’avocat déjà en première instance. Il se justifie ainsi de réduire le temps admissible consacré à la rédaction de l’appel à 7 heures (- 13 heures). Quant aux vingt minutes indiquées pour le chargé de pièces, il n’y a pas lieu de les retenir, dès lors que la confection d’un bordereau de pièces relève d’un travail de pur secrétariat et n’a pas à être supporté par l’assistance judiciaire (- 20 minutes) (Colombini, op. cit., n. 3.12.6 ad art. 122 CPC et réf. cit.). Pour ce qui concerne les courriels et communications des</w:t>
      </w:r>
    </w:p>
    <w:p>
      <w:r>
        <w:rPr>
          <w:b/>
        </w:rPr>
        <w:t>E. 15.3.2</w:t>
      </w:r>
    </w:p>
    <w:p>
      <w:r>
        <w:t>Me Bernadette Schindler Velasco a produit une liste des opérations dans laquelle elle indique avoir consacré 6 heures et 42 minutes à ce dossier du 21 décembre 2021 au 3 mars 2022. Concernant les opérations indiquées en date du 21 décembre 2021, du 6 et du 10 janvier 2022 pour une durée d’une heure et six minutes, elles sont antérieures au 18 janvier 2022, date de la demande d’assistance judiciaires, mais constituent des démarches liées au dépôt de la réponse le 21 janvier 2022 au sens de la jurisprudence précitée. En effet, le conseil de l’intimée a effectué un examen rapide de l’acte d’appel qui lui avait été notifié en date du 21 décembre 2021, un délai de trente jours étant imparti à sa cliente pour déposer une réponse, a échangé quelques courriels avec sa cliente et eu un entretien téléphonique avec elle, avant d’effectuer la rédaction de la réponse le 19 janvier 2022 et de l’adresser le 21 janvier 2022 à la cour de céans. Quant à la durée de 4 heures et 48 minutes indiquée pour la rédaction de la réponse, elle est justifiée compte tenu de la nature et de la complexité de la cause. Par conséquent, il se justifie d’admettre le temps indiqué par Me Schindler Velasco. En tenant compte du tarif horaire de 180 fr. prévu pour les avocats brevetés (art. 2 let. a RAJ [règlement sur l’assistance judiciaire en matière civile du 7 décembre 2010 ; BLV 211.02.3]), il se justifie de fixer l’indemnité d’office à 1'206 fr. (= 6h42 x 180 fr.), à laquelle s’ajoutent les débours par 24 fr. 12 (soit 2 % de 1’206 fr. en application de l’art. 3bis RAJ), ainsi que la TVA de 7,7 % sur le tout (7,7% de 1'230 fr. 12 = 94 fr. 71), soit une indemnité d’office due à Me Schindler Velasco de 1'324 fr. 85, arrondie à 1'325 fr. au total. Selon l’art. 123 CPC, les bénéficiaires de l’assistance judiciaire sont tenus au remboursement des frais judiciaires et des indemnités à leurs conseils d’office respectifs mis provisoirement à la charge de l’Etat, dès qu’ils seront en mesure de le faire. Il incombe au Service juridique et législatif de fixer le principe et les modalités de ce remboursement (art. 39a CDPJ [Code de droit privé judiciaire vaudois du 12 janvier 2010 ; BLV 121.02]).</w:t>
      </w:r>
    </w:p>
    <w:p>
      <w:r>
        <w:rPr>
          <w:b/>
        </w:rPr>
        <w:t>E. 17</w:t>
      </w:r>
    </w:p>
    <w:p>
      <w:r>
        <w:t>mai, 26 août, 21 et 29 décembre 2021, ainsi que des courriels au client des 26 janvier et 7 mars 2022, ils concernent plutôt des courriers dont la prise de connaissance n’implique qu’une lecture cursive et brève (Colombini, op. cit., n. 3.12.2 ad art. 122 CPC), et des mémos ou des avis de transmission qui ne peuvent être pris en compte comme activité de l’avocat, s’agissant également de pur travail de secrétariat (Colombini, ibidem ). De surcroît, il est raisonnable de retenir 30 minutes, et non 1 heure, pour la demande de l’assistance judiciaire. Ainsi, seules 1 heure et 20 minutes seront retenues pour le poste correspondance (- 1 heure et 15 minutes). Par conséquent, il se justifie de retenir 10 heures et 20 minutes consacrées à ce dossier de la part de Me Boudiaf. En tenant compte du tarif horaire de 180 fr. prévu pour les avocats brevetés (art. 2 let. a RAJ [règlement sur l’assistance judiciaire en matière civile du 7 décembre 2010 ; BLV 211.02.3]), il se justifie de fixer l’indemnité d’office à 1’860 fr. (= 10h20 x 180 fr.), à laquelle s’ajoutent les débours par 37 fr. 20 (soit 2 % de 1’860 fr. en application de l’art. 3bis RAJ), ainsi que la TVA de 7,7 % sur le tout (7,7% de 1’897 fr. 20 = 146 fr. 10), soit une indemnité d’office due à Me Boudiaf de 2'043 fr. 30, arrondi à 2'044 fr.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