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811 vom 26. Oktober 2021</w:t>
      </w:r>
    </w:p>
    <w:p>
      <w:r>
        <w:t>VD Tribunal cantonal, 2021-10-26, FR</w:t>
      </w:r>
    </w:p>
    <w:p>
      <w:r>
        <w:rPr>
          <w:b/>
        </w:rPr>
        <w:t xml:space="preserve">Quelle: </w:t>
      </w:r>
      <w:r>
        <w:t>https://mcp.opencaselaw.ch/entscheid/vd_findinfo_HC___2021___811</w:t>
      </w:r>
    </w:p>
    <w:p>
      <w:r>
        <w:t>FR: VD_FINDINFO HC / 2021 / 811 du 26 octobre 2021</w:t>
      </w:r>
    </w:p>
    <w:p>
      <w:r>
        <w:t>IT: VD_FINDINFO HC / 2021 / 811 del 26 ottobre 2021</w:t>
      </w:r>
    </w:p>
    <w:p>
      <w:pPr>
        <w:pStyle w:val="Heading2"/>
      </w:pPr>
      <w:r>
        <w:t>Regeste</w:t>
      </w:r>
    </w:p>
    <w:p>
      <w:r>
        <w:t>OBLIGATION D'ENTRETIEN, REVENU HYPOTHÉTIQUE, DÉPART D'UN PAYS, REJET DE LA DEMANDE | 276 CC, 285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(art. 311 al. 1 CPC).</w:t>
      </w:r>
    </w:p>
    <w:p>
      <w:r>
        <w:rPr>
          <w:b/>
        </w:rPr>
        <w:t>E. 1.2</w:t>
      </w:r>
    </w:p>
    <w:p>
      <w:r>
        <w:t>L'appelant doit en principe prendre des conclusions sur le fond au vu de la nature réformatoire de l'appel. Ses conclusions doivent être suffisamment précises pour qu'en cas d'admission de l'appel, elles puissent être reprises telles quelles dans le dispositif (ATF 137 III 617 consid. 4.3. et 6.1, JdT 2014 II 187 ; TF 4A_207/2019 du 17 août 2020 consid. 3.2, non publié in ATF 146 III 413). Il n'existe pas de présomption selon laquelle l’appelant ou le recourant qui ne précise pas ses conclusions serait censé reprendre celles formulées devant l'instance précédente (TF 5D_43/2019 du 24 mai 2019 consid. 3.2.2.1). Par ailleurs,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w:t>
      </w:r>
    </w:p>
    <w:p>
      <w:r>
        <w:rPr>
          <w:b/>
        </w:rPr>
        <w:t>E. 1.3</w:t>
      </w:r>
    </w:p>
    <w:p>
      <w:r>
        <w:t>En l’espèce, l’appel, dirigé contre une décision finale de première instance, est formé en temps utile par une partie qui a un intérêt digne de protection (art. 59 al. 2 let. a CPC) et porte sur des conclusions patrimoniales qui, capitalisées (art. 92 CPC), sont supérieures à 10'000 francs. Non assisté, l’appelant ne prend pas de conclusions formelles, mais il ressort de son écriture qu’il conteste l’arriéré de 18'000 fr. et qu’il requiert que la pension ne soit pas fixée au-delà de 250 fr. par mois. La motivation de l’acte est également lacunaire, l'appelant se limitant en effet à raconter sa version des faits, sans tenir compte des exigences en la matière, notamment sans prendre position sur l'argumentation du jugement pour en démontrer le caractère erroné. Il reprend pour l’essentiel l’argumentation présentée devant le premier juge. Cela étant, dans la mesure où l’appelant n’est pas assisté et où l’on comprend de son écriture, interprétée dans son ensemble (sur l’interprétation globale et de bonne foi des conclusions ainsi que le principe « favor validitatis » : cf. TF 4A_274/2020 du 1 er septembre 2020 consid. 6), les éléments qu’il conteste, l’appel est recevable, sous réserve des précisions ci-après concernant la question de l’arriéré de pensions (consid.</w:t>
      </w:r>
    </w:p>
    <w:p>
      <w:r>
        <w:rPr>
          <w:b/>
        </w:rPr>
        <w:t>E. 4</w:t>
      </w:r>
    </w:p>
    <w:p>
      <w:r>
        <w:t>S’agissant du deuxième point de contestation, à savoir l’arriéré de pensions, l’appel paraît irrecevable, faute de motivation. La question peut toutefois souffrir de rester ouverte, dès lors que sur le fond, l'appelant se limite à soutenir qu'il a déjà payé le montant de l’arriéré en relation avec « l'indemnisation de la vente de l'appartement au X.________ » et que l’on comprend difficilement où l'appelant veut en venir avec cet argument, qui mélange la liquidation de la propriété immobilière et l'entretien de l'enfant. L’appelant n'établit en outre pas qu'il aurait payé quoi que ce soit au titre de l'entretien qu'il faudrait déduire de l'arriéré constaté dans le jugement. Dans ces circonstances, le grief doit être rejeté, pour peu qu'il soit recevable.</w:t>
      </w:r>
    </w:p>
    <w:p>
      <w:r>
        <w:rPr>
          <w:b/>
        </w:rPr>
        <w:t>E. 5.1</w:t>
      </w:r>
    </w:p>
    <w:p>
      <w:r>
        <w:t>D'emblée dénué de chances de succès, l'appel doit être rejeté dans la mesure où il est recevable, selon le mode procédural de l'art. 312 al. 1 in fine CPC.</w:t>
      </w:r>
    </w:p>
    <w:p>
      <w:r>
        <w:rPr>
          <w:b/>
        </w:rPr>
        <w:t>E. 5.2</w:t>
      </w:r>
    </w:p>
    <w:p>
      <w:r>
        <w:t>La requête d'assistance judiciaire doit également être rejetée, la cause étant dépourvue de toute chance de succès (art. 117 let. b CPC).</w:t>
      </w:r>
    </w:p>
    <w:p>
      <w:r>
        <w:rPr>
          <w:b/>
        </w:rPr>
        <w:t>E. 5.3</w:t>
      </w:r>
    </w:p>
    <w:p>
      <w:r>
        <w:t>Vu le sort de l’appel, les frais judiciaires de deuxième instance, arrêtés à 600 fr. (art. 65 al. 2 TFJC [tarif des frais judiciaires civils du 28 septembre 2010 ; BLV 270.11.5]), seront mis à la charge de l’appelant (art. 106 al. 1 CPC). Il n'y a pas lieu d'allouer des dépens à l'intimée qui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