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810 vom 1. November 2021</w:t>
      </w:r>
    </w:p>
    <w:p>
      <w:r>
        <w:t>VD Tribunal cantonal, 2021-11-01, FR</w:t>
      </w:r>
    </w:p>
    <w:p>
      <w:r>
        <w:rPr>
          <w:b/>
        </w:rPr>
        <w:t xml:space="preserve">Quelle: </w:t>
      </w:r>
      <w:r>
        <w:t>https://mcp.opencaselaw.ch/entscheid/vd_findinfo_HC___2021___810</w:t>
      </w:r>
    </w:p>
    <w:p>
      <w:r>
        <w:t>FR: VD_FINDINFO HC / 2021 / 810 du 1 novembre 2021</w:t>
      </w:r>
    </w:p>
    <w:p>
      <w:r>
        <w:t>IT: VD_FINDINFO HC / 2021 / 810 del 1 novembre 2021</w:t>
      </w:r>
    </w:p>
    <w:p>
      <w:pPr>
        <w:pStyle w:val="Heading2"/>
      </w:pPr>
      <w:r>
        <w:t>Regeste</w:t>
      </w:r>
    </w:p>
    <w:p>
      <w:r>
        <w:t>HYPOTHÈQUE LÉGALE DES ARTISANS ET ENTREPRENEURS, MESURE PROVISIONNELLE, REJET DE LA DEMANDE, DOMMAGES-INTÉRÊTS | 837 al. 1 ch. 3 CC, 839 al. 2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 2 LOJV [Loi d'organisation judicaire du 12 décembre 1979 ; BLV 173.01]).</w:t>
      </w:r>
    </w:p>
    <w:p>
      <w:r>
        <w:rPr>
          <w:b/>
        </w:rPr>
        <w:t>E. 1.2</w:t>
      </w:r>
    </w:p>
    <w:p>
      <w:r>
        <w:t>Formé en temps utile par une partie qui y a un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3</w:t>
      </w:r>
    </w:p>
    <w:p>
      <w:r>
        <w:t>CC n’est pas exhaustive dès lors qu’elle prévoit un droit à l’inscription d’un gage pour « d’autres travaux semblables ». L’adjonction de cette notion permet d’offrir une garantie pour les travaux qui ne seraient pas garantis par une hypothèque légale à cause de l’impossibilité de les inclure dans la catégorie principale (construction), ni dans l’une des sous-catégories (destruction, montage d’échafaudages et sécurisation d’une excavation) (Carron/Felley, L’hypothèque légale des artisans et entrepreneurs : ce qui change et ce qui reste, in Le nouveau droit de l’hypothèque légale des artisans et entrepreneurs, Fond et procédure, éd. F. Bohnet, 2012, n. 57 p. 18 ; Reetz, Bauhandwerkerpfandrecht, Verwaltungsvermögen und das neue Recht, DC 2010 p. 120 ss, n. 6a). Certains travaux se situent dans une zone grise, dont la jurisprudence devra clarifier leur sort (Carron/Felley, op. cit., n. 62 p. 19 s.). Dans ce cas, une prestation est susceptible d’être garantie par une hypothèque légale des artisans et entrepreneurs si les trois conditions qui suivent sont cumulativement remplies. Premièrement, il doit s’agir de prestations de construction, soit des travaux de construction au sens large, lesquels comprennent également les travaux de destruction. Deuxièmement, il doit s’agir de prestations physiques, soit aussi bien des travaux manuels que de ceux relevant de méthodes industrielles. En revanche, les prestations intellectuelles et immatérielles, notamment celles de l’architecte, de l’ingénieur ou d’un juriste, ne font pas partie des prestations pouvant bénéficier de la garantie de l’hypothèque légale des entrepreneurs et des artisans. Troisièmement, il doit s’agir de prestations corrélées au bien à grever. Cela implique que l’activité déployée par l’artisan-entrepreneur doit présenter un lien avec une réalisation individuelle sur l’immeuble à grever et doit être à ce titre difficilement ou non réutilisable (Carron/Felley, op. cit., nn. 63 ss). L’inscription doit être refusée si la prestation n’entre pas dans le champ d’application de l’hypothèque légale (ATF 119 II 426 consid. 2 ; Bohnet, 2012, le nouveau droit de l’hypothèque légale des artisans et entrepeneurs, 2021, pp. 53-54). En particulier, il n’existe pas de droit à l’inscription d’une hypothèque légale pour l’indemnité découlant de l’art. 377 CO (Carron/Felley, op. cit., pp. 20-44 ; Schumacher, Das Bauhandwerkerpfandrecht Ergänzungsband zur 3. Auflage, Zurich 2011, n. 44 ; Chaix, in Thévenaz/Werro, Commentaire romand, Code des obligations I, 3 e éd. 2021, Bâle, n. 9 ad. art. 377 CO). Les prestations concrètes, en travail et en matériaux, et leur prix (y compris en cas de prix globaux ou forfaitaires) doivent être détaillés pour chaque bien-fonds. Des prix globaux ou forfaitaires ne dispensent pas l’artisan ou l’entrepreneur de cette obligation souvent conséquente (cf. TF 5A_924/2014 du 7 mai 2015 consid. 4.1.3.1 ; TF 5A_682/2010 du 24 octobre 2011 consid. 3.2 et les réf. citées).</w:t>
      </w:r>
    </w:p>
    <w:p>
      <w:r>
        <w:rPr>
          <w:b/>
        </w:rPr>
        <w:t>E. 3.1</w:t>
      </w:r>
    </w:p>
    <w:p>
      <w:r>
        <w:t>L’appelante conteste uniquement la réduction de 75'500 fr. du montant de l’inscription provisoire de l’hypothèque légale des artisans et entrepreneurs opérée par la première juge. Elle soutient que l’intégralité de ses prétentions devrait être inscrite, à tout le moins, au stade des mesures provisionnelles. Ses prétentions seraient en relation directe avec les travaux qu’elle a réalisés sur la propriété de l’intimée. S’agissant du montant de 43'500 fr., il s’agirait d’une prétention liée à la résiliation (art. 377 CO), sans raison, par le maître de l’ouvrage, du contrat d’entreprise qui liait les parties. Quant au montant de 32'000 fr., il s’agirait des coûts liés à l’ordre d’arrêt du chantier donné par le maître de l’ouvrage en relation avec le semi-confinement du mois de mars 2020. Durant cette période, les machines auraient été immobilisées et les ouvriers auraient été mis à l’arrêt, ce qui aurait engendré des coûts à l’appelante. L’appelante soutient que c’est à tort que la première juge a écarté ces montants en invoquant qu’il ne s’agissait pas de travaux de construction ou encore de travaux manuels. Un tel raisonnement aurait pour conséquence qu’il faudrait opérer une distinction pour toutes les opérations réalisées par une entreprise de construction. Il faudrait alors retirer des prétentions pouvant bénéficier de la garantie de l’hypothèque légale, les frais de secrétariat, les frais administratifs de gestion des ressources humaines, les loyers des locaux occupés par l’entreprise, etc. Elle soutient que l’ensemble de ces frais devraient être couverts par la garantie de l’hypothèque légale des artisans et entrepreneurs. L’appelante expose qu’elle a établi l’existence des rapports contractuels avec l’intimée et que du travail a été exécuté, de sorte que, en cas de doute, l’inscription d’une hypothèque légale pour un montant total de 281'960 fr. aurait dû être admise. Pour sa part, l’intimée relève que la doctrine exclut expressément de la protection conférée par l’hypothèque légale toutes prétentions autres que le paiement des travaux accomplis. Elle soutient qu’en cas de résiliation du contrat d’entreprise une éventuelle prétention de l’entrepreneur en paiement des travaux non exécutés, fondée sur l’art. 377 CO, est distincte de la prétention en paiement des prestations déjà effectuées, seule cette dernière prétention pouvant être garantie par l’hypothèque légale, à l’exclusion de celle découlant de l’art. 377 CO. Elle relève en outre que les frais administratifs, de secrétariat ou de fonctionnement assumés par un entrepreneur sont indispensables à l’exécution du contrat d’entreprise, ce qui ne serait pas le cas des indemnités réclamées en lien avec des travaux qui, précisément, ne sont pas exécutés. Elle soutient encore que l’appelante n’aurait ni allégué ni rendu vraisemblable les dommages qui fonderaient son prétendu droit à réclamer les deux indemnités litigieuses.</w:t>
      </w:r>
    </w:p>
    <w:p>
      <w:r>
        <w:rPr>
          <w:b/>
        </w:rPr>
        <w:t>E. 3.2.1</w:t>
      </w:r>
    </w:p>
    <w:p>
      <w:r>
        <w:t>Aux termes de l'art. 837 al. 1 ch. 3 CC (Code civil suisse du 10 décembre 1907 ; RS 210),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 Pfandsumme »), à l’égard du propriétaire (ATF 126 III 467 consid. 4d ; TF 5A_282/2016 consid. 3.2.2).</w:t>
      </w:r>
    </w:p>
    <w:p>
      <w:r>
        <w:rPr>
          <w:b/>
        </w:rPr>
        <w:t>E. 3.2.2</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Toute mesure provisionnelle présuppose la nécessité d’une protection immédiate en raison d’un danger imminent menaçant ses droits (Hohl, Procédure civile, tome Il, 2 e éd., 2010,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Selon l’art. 961 al. 3 CC, le juge statue sur la requête et autorise l’inscription provisoire au registre foncier si le droit allégué lui paraît exister ; il détermine exactement la durée et les effets de l’inscription et fixe, le cas échéant, un délai dans lequel le requérant fera valoir son droit en justice.</w:t>
      </w:r>
    </w:p>
    <w:p>
      <w:r>
        <w:rPr>
          <w:b/>
        </w:rPr>
        <w:t>E. 3.2.3</w:t>
      </w:r>
    </w:p>
    <w:p>
      <w:r>
        <w:t>En matière d'inscription à titre provisionnel d'une hypothèque légale, les conséquences d'un refus des mesures provisionnelles sont particulièrement graves. En effet, l'inscription doit être obtenue, et non requise, au plus tard dans les quatre mois qui suivent l'achèvement des travaux (art. 839 al. 2 CC). Or il est pratiquement impossible d'obtenir l'inscription définitive dans un tel délai. Le rejet des mesures provisionnelles aura donc pour conséquence, en pratique, la péremption du droit d'obtenir l'inscription. C'est la raison pour laquelle le Tribunal fédéral a posé des conditions peu strictes à l'admission de telles mesures provisionnelles. Ainsi, le Tribunal fédéral a considéré que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la 81 consid. 2b/bb ; Schmid, Basler Kommentar, 6 e éd., 2019, n. 16 ad art. 961 CC ; Steinauer, Les droits réels, Tome III, 2012, n. 2897 et les réf. citées).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 TF 5A_475/2010 du 15 septembre 2010 consid. 3.1.2 ; TF 5A_208/2010 du 17 juin 2010 consid. 4.2 ; TF 5A_777/2009 du 1 er février 2010 consid. 4.1). A moins que le droit à la constitution de l'hypothèque n'existe clairement pas, le juge qui en est requis doit ordonner l'inscription provisoire (ATF 102 la 81 consid. 2b/bb, JT 1961 I 332 ; TF 5A_475/2010 du 15 septembre 2010 consid. 3.1.2 ; TF 5A_777/2009 du 1 er février 2010 consid. 4.1).</w:t>
      </w:r>
    </w:p>
    <w:p>
      <w:r>
        <w:rPr>
          <w:b/>
        </w:rPr>
        <w:t>E. 3.2.4</w:t>
      </w:r>
    </w:p>
    <w:p>
      <w:r>
        <w:t>Selon l’art. 837 al. 1 ch. 3 CC, la prestation garantie par une hypothèque légale doit se matérialiser par la fourniture d’un travail sur un immeuble. Il peut s’agir d’une activité de construction, mais également de destruction, du montage d’échafaudage, de la sécurisation d’une excavation ou d’autres travaux semblables. La simple livraison (vente) de matériaux non façonnés spécifiquement ne donne pas droit à une hypothèque légale (ATF 136 III 6 consid. 5.4). La liste de prestations garantie par une hypothèque légale à l’art. 837 al. 1 ch.</w:t>
      </w:r>
    </w:p>
    <w:p>
      <w:r>
        <w:rPr>
          <w:b/>
        </w:rPr>
        <w:t>E. 3.3</w:t>
      </w:r>
    </w:p>
    <w:p>
      <w:r>
        <w:t>La première juge a constaté que les parties s’accordaient sur l’existence du contrat d’entreprise générale du</w:t>
      </w:r>
    </w:p>
    <w:p>
      <w:r>
        <w:rPr>
          <w:b/>
        </w:rPr>
        <w:t>E. 3.4</w:t>
      </w:r>
    </w:p>
    <w:p>
      <w:r>
        <w:t>A titre liminaire, on relèvera que seule la question de savoir si les prétentions de l’appelante en lien avec la résiliation du contrat d’entreprise et l’arrêt de chantier dû à la pandémie COVID-19 peuvent être garanties par une hypothèque légale au sens de l’art. 837 al. 1 ch. 3 CC demeure litigieuse. A cet égard, l’appelante a produit une facture et un tableau récapitulatif, lesquels mentionnent uniquement ce qui suit : « Rupture de contrat sur demande MO » pour un montant de 43'500 fr. et « Arrêt du chantier dû au COVID-19 » pour un montant de 32'000 francs. Ces deux postes ne sont ni détaillés ni établis par titres. S’agissant tout d’abord du poste « rupture de contrat », l’appelante allègue à l’appui de son appel qu’il s’agit d’une prétention liée à la résiliation du contrat par le maître d’ouvrage (art. 377 CO). Or, une telle prétention ne peut pas fonder une hypothèque légale des artisans et entrepreneurs (cf. supra consid. 3.2.4). Partant, l’inscription définitive du montant en lien avec cette prestation paraît exclue. L’appréciation de la première juge sur ce point doit être confirmée. Quant au poste « arrêt du chantier dû au COVID-19 », cette prestation ne figure pas dans la liste exemplative de l’art. 837 al. 1 ch. 3 CC. C’est ainsi à juste titre que la présidente à examiner si une telle prestation était susceptible d’être garantie par une hypothèque légale des artisans et entrepreneurs, à savoir s’il s’agissait d’une prestation de construction, d’une prestation physique et d’une prestation corrélée au bien à grever. En l’espèce, à l’appui de sa requête de mesures provisionnelles, l’appelante n’a pas allégué la moindre explication quant à la prétention litigieuse. En particulier, elle n’a pas indiqué que le chantier avait été arrêté en raison de la pandémie COVID-19. Seule l’intimée, dans ses déterminations, a mentionné une interruption de trois semaines des travaux. L’appelante s’est ainsi contentée d’alléguer un montant de 32'000 fr. en lien avec l’arrêt de chantier, sans détailler ce montant. Elle n’a en outre pas fourni le moindre moyen de preuve à l’appui de sa prétention. Les explications exposées en appel à ce sujet – dont la recevabilité est douteuse dès lors que celles-ci n’ont pas été alléguées en première instance – sont de surcroît insuffisantes. L’appelante a en effet uniquement indiqué que du matériel aurait été mobilisé et que des ouvriers auraient été arrêtés. Or la prestation garantie par une hypothèque légale doit se matérialiser par la fourniture d’un travail sur un immeuble. Force est de constater qu’il paraît hautement invraisemblable que l’appelante ait effectué une prestation de construction impliquant un travail physique durant l’arrêt de chantier. Par ailleurs, il sied de relever que les frais administratifs, de secrétariat, locaux occupés, etc., sont indispensables à l’exécution du contrat de construction. Ces frais sont ainsi généralement inclus dans la rémunération convenue par les parties, de sorte qu’il n’y a pas lieu d’opérer une distinction pour les différentes opérations réalisées par l’entrepreneur dans le cadre de l’exécution des travaux. L’appelante ne peut dès lors rien tirer de cet argument pour justifier d’étendre la garantie hypothécaire à sa prétention en dommages-intérêts, prétention qui n’est précisément pas incluse dans la rémunération convenue. Au vu de l’ensemble de ces éléments, l’appelante ne rend pas vraisemblable l’existence de sa prétention et encore moins que celle-ci serait susceptible d’être garantie par gage. Partant, l’inscription définitive du montant de 32'000 fr. en lien avec l’arrêt de chantier dû à la pandémie COVID-19 paraît également exclue.</w:t>
      </w:r>
    </w:p>
    <w:p>
      <w:r>
        <w:rPr>
          <w:b/>
        </w:rPr>
        <w:t>E. 4</w:t>
      </w:r>
    </w:p>
    <w:p>
      <w:r>
        <w:t>octobre 2019 en vue de la réalisation d’une piscine et de locaux enterrés sur la parcelle de l’intimée sise à [...], ainsi que sur le fait que l’appelante avait effectué une partie des travaux y relatifs. Ces éléments auxquels s’ajoutaient la facture du 9 septembre 2020 ainsi que le tableau récapitulatif produit (pièce 15) rendaient vraisemblables les honoraires liés à l’exécution des travaux de réalisation de la piscine et des locaux enterrés, pour le montant de 206'190 fr. TTC (510'690 fr. TTC de « travaux exécutés » – 304'500 fr. d’acompte). La magistrate a ensuite examiné si le droit à la garantie hypothécaire s’étendait aux postes « Rupture de contrat sur demande MO » de 43'500 fr. et « Arrêt du chantier dû au COVID-19 » de 32'000 francs. A cet égard, elle a considéré que, pour qu’une prestation soit susceptible d’être garantie par une hypothèque légale des artisans et entrepreneurs, il devait s’agir d’une prestation de construction, d’une prestation physique, c’est-à-dire aussi bien des « travaux manuels » qu’ « industriels » et d’une prestation corrélée au bien à grever. Elle a estimé que les deux premières conditions cumulatives précitées n’étaient manifestement pas remplies, la rupture du contrat d’entreprise ainsi que l’arrêt du chantier dû au COVID-19 n’étant pas des prestations de constructions et n’impliquant aucun travail physique. Elle a ainsi considéré que ces deux prétentions sortaient du champ de protection offert par l’hypothèque légale des artisans et entrepreneurs, de sorte que l’inscription définitive des montants en lien avec ces deux prétentions paraissait exclue. La présidente a confirmé l’inscription provisoire au Registre foncier, mais à concurrence d’un montant de 206'190 francs.</w:t>
      </w:r>
    </w:p>
    <w:p>
      <w:r>
        <w:rPr>
          <w:b/>
        </w:rPr>
        <w:t>E. 4.1</w:t>
      </w:r>
    </w:p>
    <w:p>
      <w:r>
        <w:t>En définitive, l’appel doit être rejeté et l’ordonnance confirmée.</w:t>
      </w:r>
    </w:p>
    <w:p>
      <w:r>
        <w:rPr>
          <w:b/>
        </w:rPr>
        <w:t>E. 4.2</w:t>
      </w:r>
    </w:p>
    <w:p>
      <w:r>
        <w:t>Les frais judiciaires de deuxième instance seront arrêtés à 1'000 fr., soit 200 fr. pour la procédure d’effet suspensif (art. 60 TFJC [tarif des frais judiciaires civils du 28 septembre 2010 ; BLV 270.11.5]) et 800 fr. pour l’appel (art. 65 al. 1 TFJC). Ils seront mis à la charge de l’appelante à hauteur de 800 fr. (art. 106 al. 1 CPC) et de l’intimée à hauteur de 200 fr. (art. 106 al. 1 CPC), celle-ci ayant succombé à la procédure d’effet suspensif. L’appelante versera à l’intimée des dépens fixés à 1'500 fr. (art.</w:t>
      </w:r>
    </w:p>
    <w:p>
      <w:r>
        <w:rPr>
          <w:b/>
        </w:rPr>
        <w:t>E. 7</w:t>
      </w:r>
    </w:p>
    <w:p>
      <w:r>
        <w:t>TDC). Par ces motifs, la Juge déléguée de la Cour d’appel civile prononce : I. L’appel est rejeté. II. L’ordonnance est confirmée. III. Les frais judiciaires de deuxième instance, arrêtés à 1'000 fr. (mille francs), sont mis à la charge de l’appelante B.________SA par 800 fr. (huit cents francs) et à la charge de l’intimée A.I.________ par 200 fr. (deux cents francs). IV. L’appelante B.________SA doit verser la somme de 1'500 fr. (mille cinq cents francs) à l’intimée A.I.________ à titre de dépens de deuxième instance. V. L’arrêt est exécutoire. La juge déléguée : La greffière : Du Le présent arrêt, dont la rédaction a été approuvée à huis clos, est notifié en expédition complète à : ‑ Me John-David Burdet (pour B.________SA), ‑ Me Mattia Deberti (pour A.I.________), et communiqué, par l'envoi de photocopies, à : ‑ Mme la Juge déléguée de la Chambre patrimoniale cantonale. Une fois définitif, le présent arrêt sera communiqué au Conservateur du Registre foncier, office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