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797 vom 16. September 2021</w:t>
      </w:r>
    </w:p>
    <w:p>
      <w:r>
        <w:t>VD Tribunal cantonal, 2021-09-16, FR</w:t>
      </w:r>
    </w:p>
    <w:p>
      <w:r>
        <w:rPr>
          <w:b/>
        </w:rPr>
        <w:t xml:space="preserve">Quelle: </w:t>
      </w:r>
      <w:r>
        <w:t>https://mcp.opencaselaw.ch/entscheid/vd_findinfo_HC___2021___797</w:t>
      </w:r>
    </w:p>
    <w:p>
      <w:r>
        <w:t>FR: VD_FINDINFO HC / 2021 / 797 du 16 septembre 2021</w:t>
      </w:r>
    </w:p>
    <w:p>
      <w:r>
        <w:t>IT: VD_FINDINFO HC / 2021 / 797 del 16 settembre 2021</w:t>
      </w:r>
    </w:p>
    <w:p>
      <w:pPr>
        <w:pStyle w:val="Heading2"/>
      </w:pPr>
      <w:r>
        <w:t>Regeste</w:t>
      </w:r>
    </w:p>
    <w:p>
      <w:r>
        <w:t>PROPOSITION DE CONCILIATION, BAIL À LOYER, LOYER INITIAL, OPPOSITION TARDIVE, DOMMAGE IRRÉPARABLE | 143 al. 1 CPC (CH), 148 al. 1 CPC, 211 al. 1 CPC (CH), 211 al. 3 CPC (CH)</w:t>
      </w:r>
    </w:p>
    <w:p>
      <w:pPr>
        <w:pStyle w:val="Heading2"/>
      </w:pPr>
      <w:r>
        <w:t>Erwägungen</w:t>
      </w:r>
    </w:p>
    <w:p>
      <w:r>
        <w:rPr>
          <w:b/>
        </w:rPr>
        <w:t>E. 1.1</w:t>
      </w:r>
    </w:p>
    <w:p>
      <w:r>
        <w:t>Selon l’art. 319 let. a CPC, le recours est ouvert contre les décisions finales de première instance qui ne peuvent pas faire l’objet d’un appel.</w:t>
      </w:r>
    </w:p>
    <w:p>
      <w:r>
        <w:rPr>
          <w:b/>
        </w:rPr>
        <w:t>E. 1.2</w:t>
      </w:r>
    </w:p>
    <w:p>
      <w:r>
        <w:t>Tel est le cas en l’espèce, s’agissant d’une décision déclarant l’opposition contre une proposition de jugement tardive entraînant ainsi pour la partie la perte définitive d’un droit matériel, la proposition de jugement déployant pleinement ses effets si aucune des parties ne forme opposition dans le délai de 20 jours prévu à l'art. 211 al. 1 CPC (ATF 144 III 404 ; CREC 9 octobre 2020/300 ; CREC 7 janvier 2019/5 consid. 3.1). Il en va de même s’agissant d’une décision refusant de restituer un délai d’opposition (ATF 139 III 478 consid. 6.3 ; TF 4A_549/2018 du 4 mars 2019 consid. 1.1). La décision a été rendue dans une cause pécuniaire dont la valeur litigieuse est inférieure à 10’000 fr. (art. 308 al. 2 CPC). Le délai pour faire recours contre ce type de décision est de trente jours (art. 321 CPC ; voir également TF 4A_549/2018 du 4 mars 2019 consid. 4.5). Le recours ayant été formé en temps utile par une partie qui y a un intérêt (art. 59 al. 2 let. a CPC), il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2017, n. 26 ad art. 319 CPC) ; elle revoit librement les questions de droit soulevées par le recourant et peut substituer ses propres motifs à ceux de l'autorité précédente ou du recourant (Hohl, Procédure civile, t. II, 2 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 e éd., 2014, n. 27 ad art. 97 LTF).</w:t>
      </w:r>
    </w:p>
    <w:p>
      <w:r>
        <w:rPr>
          <w:b/>
        </w:rPr>
        <w:t>E. 2.2</w:t>
      </w:r>
    </w:p>
    <w:p>
      <w:r>
        <w:t>Aux termes de l'art. 326 CPC, les conclusions, les allégations de faits et les preuves nouvelles sont irrecevables (al. 1). Les dispositions spéciales de la loi sont réservées (al. 2). En l’espèce, les pièces n os 3bis, 4, 5, 6, 8bis et 8ter ne figurent pas au dossier de première instance et sont dès lors irrecevables.</w:t>
      </w:r>
    </w:p>
    <w:p>
      <w:r>
        <w:rPr>
          <w:b/>
        </w:rPr>
        <w:t>E. 3.1</w:t>
      </w:r>
    </w:p>
    <w:p>
      <w:r>
        <w:t>La recourante conteste que l’opposition soit tardive. Elle prétend à ce titre que toutes les dispositions auraient été prises afin que l’opposition à la proposition de jugement du 27 mai 2021 soit déposée dans le délai de 20 jours, arrivant à échéance le 17 juin 2021. Selon elle, la tardiveté de son opposition incomberait exclusivement à la Poste Suisse. Elle allègue que tous les délais devant être envoyés (par le mandataire) durant la semaine du 14 au 18 juin 2021 auraient été reçus et traités par les autorités judiciaires concernées, à l’exception notoire de l’opposition destinée à la commission de conciliation du 16 juin 2021.</w:t>
      </w:r>
    </w:p>
    <w:p>
      <w:r>
        <w:rPr>
          <w:b/>
        </w:rPr>
        <w:t>E. 3.2</w:t>
      </w:r>
    </w:p>
    <w:p>
      <w:r>
        <w:t>Selon l'art. 143 al. 1 CPC, les actes doivent être remis au plus tard le dernier jour du délai soit au tribunal soit à l'attention de ce dernier, à la poste suisse ou à une représentation diplomatique ou consulaire suisse. Le délai est sauvegardé si l'acte est remis le dernier jour du délai à minuit (ATF 142 V 389 consid. 2.2 et réf. cit.). En cas de doute, la preuve du respect du délai, et donc d'une telle remise, doit être apportée par celui qui soutient avoir agi en temps utile au degré de la certitude et non simplement au degré de la vraisemblance prépondérante ; elle résulte en général de preuves « préconstituées » (sceau postal, récépissé d'envoi recommandé ou encore accusé de réception en cas de dépôt pendant les heures de bureau ; TF 8C_696/2018 du 7 novembre 2018 consid.</w:t>
      </w:r>
    </w:p>
    <w:p>
      <w:r>
        <w:rPr>
          <w:b/>
        </w:rPr>
        <w:t>E. 3.3</w:t>
      </w:r>
    </w:p>
    <w:p>
      <w:r>
        <w:t>En l’espèce, la proposition de jugement a été adressée par pli recommandé à la recourante le 27 mai 2021. Ce pli a été distribué le 28 mai 2021, ce qui implique que le délai de vingt jours pour faire opposition a commencé à courir dès le lendemain pour arriver à échéance le 17 juin 2021. La recourante reconnait que l’enveloppe contenant l’opposition n’a été oblitérée que le 18 juin 2021, soit après l’échéance du délai de 20 jours. Or, il lui appartenait de s’assurer que ce courrier soit oblitéré dans ce délai, ce qui n’est pas garanti s’agissant d’un courrier envoyé en courrier A. Le site de la Poste Suisse indique à ce sujet que « avec le mode d’expédition Courrier A, vos lettres parviennent à leurs destinataires le jour ouvrable suivant si elles sont déposées à temps ». Dans le cas d’espèce, la recourante n’allègue ni ne démontre que le courrier litigieux aurait été déposé à temps, soit « avant la fermeture des guichets, mais au plus tard à 18h30 » ou « avant la dernière levée » s’agissant d’un dépôt dans une boîte aux lettres publique. Il incombait à la recourante de s’assurer que l’oblitération de l’envoi soit effectuée dans le délai, en envoyant par exemple son courrier en recommandé ou en courrier A+, afin d’en avoir un suivi, voire même de recourir à une preuve par attestation ou témoignage. En l’espèce, la recourante ne parvient pas à faire la preuve de la remise de l’opposition à la poste dans le délai de 20 jours, de sorte que, oblitérée le 18 juin 2021, l’opposition est effectivement tardive.</w:t>
      </w:r>
    </w:p>
    <w:p>
      <w:r>
        <w:rPr>
          <w:b/>
        </w:rPr>
        <w:t>E. 3.4</w:t>
      </w:r>
    </w:p>
    <w:p>
      <w:r>
        <w:t>La recourante invoque en outre la violation de l’interdiction du formalisme excessif par l’autorité précédente. La commission de conciliation n’a pas violé l’interdiction de formalisme excessif en déclarant tardive l’opposition à la proposition de jugement qui n’a pas été déposé dans le délai légal de 20 jours, sans quoi les règles sur le calcul des délais (computation, observation, prolongation et suspension) n’auraient plus aucune portée.</w:t>
      </w:r>
    </w:p>
    <w:p>
      <w:r>
        <w:rPr>
          <w:b/>
        </w:rPr>
        <w:t>E. 3.5.1</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Selon la doctrine, le degré de diligence attendu s'apprécie en principe objectivement, en fonction des circonstances du cas d'espèce, de l'enjeu de la restitution sollicitée, ainsi que de la complication qu'un retour en arrière impliquerait ; il se justifie néanmoins, subjectivement, de tenir compte également du fait que l'intéressé dispose ou non de connaissances juridiques et/ou procédurales plus ou moins étendues (Tappy, op. cit., n. 19 ad art. 148 CPC ; Gozzi, BSK ZPO, 2 e éd. 2013, n. 11 ad art. 148 CPC). L'étendue du devoir de diligence s'apprécie en outre à la lumière de l'importance de l'acte omis (Gozzi, ibidem). Ainsi, un avocat se verra-t-il en principe reprocher de n'avoir pas pris les mesures nécessaires (par exemple par délégation, ou par instruction donnée au mandant d'agir lui-même ou de consulter un autre avocat) à la sauvegarde d'un délai malgré un empêchement (ATF 119 II 86 consid. 2a, cité in KUKO ZPO, Hoffmann-Nowotny, 2 e éd. 2014, n . 6 ad art. 148 ZPO). Contrairement à ce qui doit prévaloir lorsque l'empêchement était prévisible pour l'avocat (tel des vacances, un séjour à l'étranger pour affaires, une absence due à l'exécution de service militaire ou civil, etc.), la doctrine préconise en présence d'une situation imprévisible et exceptionnelle d'admettre l'existence d'une faute seulement légère. S'agissant en particulier de l'avocat, la doctrine rappelle qu'il lui appartient de s'organiser afin de garantir le respect des délais ainsi que de contrôler le bon fonctionnement de l'organisation mise en œuvre, en particulier en présence de nouveaux collaborateurs. Un oubli ou une méprise ne peut en principe fonder une demande de restitution. À cet égard, il convient de se montrer particulièrement strict avec les avocats, qui ne pourront invoquer utilement la surcharge, momentanée ou non, pour prétendre excuser un oubli ou une méprise. L'avocat doit organiser son activité et celle de son étude de façon à être en mesure d'assurer la mise en œuvre des droits procéduraux de son mandant, ce qui inclut en particulier de prêter un soin et une attention scrupuleux au courrier reçu de et à destination des tribunaux, y compris, pour une telle correspondance, de faire usage de l'envoi recommandé pour être en mesure d'attester du respect d'un délai, a fortiori lorsqu'il s'agit d'un délai légal conditionnant la possibilité d'user de voies de droit (pour le tout cf. CACI 21 avril 2016/236 consid. 3.1.4 et les réf. cit.).</w:t>
      </w:r>
    </w:p>
    <w:p>
      <w:r>
        <w:rPr>
          <w:b/>
        </w:rPr>
        <w:t>E. 3.5.2</w:t>
      </w:r>
    </w:p>
    <w:p>
      <w:r>
        <w:t>Au vu de la jurisprudence qui précède et contrairement à ce que soutient la recourante, il incombe au mandataire de s'organiser afin de garantir le respect des délais, de sorte qu’en l’espèce on ne peut considérer qu’i l s’agit d’une faute légère permettant la restitution du délai. A toutes fins utiles, on relève encore que la Chambre de céans ne serait pas compétente pour statuer sur une requête de restitution de délai, l’autorité compétente pour ce faire étant en l’espèce celle devant laquelle le prétendu défaut aurait dû être constaté (Tappy, CR-CPC, op. cit., n. 3 ad art. 149 CPC). Une telle requête, qui doit être déposée dans les dix jours qui suivent celui où la cause du défaut a disparu, serait de surcroît tardive (art. 148 al. 2 CPC).</w:t>
      </w:r>
    </w:p>
    <w:p>
      <w:r>
        <w:rPr>
          <w:b/>
        </w:rPr>
        <w:t>E. 4.1</w:t>
      </w:r>
    </w:p>
    <w:p>
      <w:r>
        <w:t>En définitive, le recours est rejeté et la décision entreprise confirmée.</w:t>
      </w:r>
    </w:p>
    <w:p>
      <w:r>
        <w:rPr>
          <w:b/>
        </w:rPr>
        <w:t>E. 4.2</w:t>
      </w:r>
    </w:p>
    <w:p>
      <w:r>
        <w:t>Vu le sort du recours, les frais judiciaires de deuxième instance, arrêtés à 100 fr. (art. 69 al. 1 et 6 al. 3 TFJC [tarif des frais judiciaires civils du 28 septembre 2010 ; BLV 270.11.5]), seront mis à la charge de la recourante (art. 106 al. 1 CPC).</w:t>
      </w:r>
    </w:p>
    <w:p>
      <w:r>
        <w:rPr>
          <w:b/>
        </w:rPr>
        <w:t>E. 4.3</w:t>
      </w:r>
    </w:p>
    <w:p>
      <w:r>
        <w:t>L'intimée n'ayant pas été invitée à se déterminer, il n'y a pas lieu de lui allouer de dépens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V.________. IV. L’arrêt est exécutoire. Le président :               La greffière : Du L'arrêt qui précède, est notifié en expédition complète, par l'envoi de photocopies, à : ‑ Me [...] (pour V.________), ‑ Mme [...], ASLOCA (pour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de la Préfecture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