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669 vom 24. August 2021</w:t>
      </w:r>
    </w:p>
    <w:p>
      <w:r>
        <w:t>VD Tribunal cantonal, 2021-08-24, FR</w:t>
      </w:r>
    </w:p>
    <w:p>
      <w:r>
        <w:rPr>
          <w:b/>
        </w:rPr>
        <w:t xml:space="preserve">Quelle: </w:t>
      </w:r>
      <w:r>
        <w:t>https://mcp.opencaselaw.ch/entscheid/vd_findinfo_HC___2021___669</w:t>
      </w:r>
    </w:p>
    <w:p>
      <w:r>
        <w:t>FR: VD_FINDINFO HC / 2021 / 669 du 24 août 2021</w:t>
      </w:r>
    </w:p>
    <w:p>
      <w:r>
        <w:t>IT: VD_FINDINFO HC / 2021 / 669 del 24 agosto 2021</w:t>
      </w:r>
    </w:p>
    <w:p>
      <w:pPr>
        <w:pStyle w:val="Heading2"/>
      </w:pPr>
      <w:r>
        <w:t>Regeste</w:t>
      </w:r>
    </w:p>
    <w:p>
      <w:r>
        <w:t>BAIL À LOYER, EXPULSION DE LOCATAIRE, CAS CLAIR | 257d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1.2.2.3 ; CACI 22 janvier 2019/29 consid. 1.1). Dans le cas présent, la valeur litigieuse s'élève à 61’560 fr. (1’710 fr./mois x 36 mois), de sorte que la voie de l'appel est ouverte. Interjeté en temps utile, par acte écrit et motivé, par une partie qui y a intérêt (art. 59 al. 2 let. a CPC), l'appel est recevable.</w:t>
      </w:r>
    </w:p>
    <w:p>
      <w:r>
        <w:rPr>
          <w:b/>
        </w:rPr>
        <w:t>E. 1.2</w:t>
      </w:r>
    </w:p>
    <w:p>
      <w:r>
        <w:t>L'appel peut être formé pour violation du droit ainsi que pour constatation inexacte des faits (art. 310 CPC). Cela étant, selon la jurisprudence du Tribunal fédéral, la nature particulière de la procédure sommaire en protection de cas clairs (art. 257 CPC) impose au juge d'appel d'évaluer les faits sur la base des preuves déjà appréciées par le premier juge saisi ; la production de pièces nouvelles est exclue, même celles qui sont visées par l'art. 317 al. 1 CPC (TF 4A_312/2013 du 17 octobre 2013 consid. 3.2 ; TF 4A_420/2012 du 7 novembre 2012 consid.</w:t>
      </w:r>
    </w:p>
    <w:p>
      <w:r>
        <w:rPr>
          <w:b/>
        </w:rPr>
        <w:t>E. 5</w:t>
      </w:r>
    </w:p>
    <w:p>
      <w:r>
        <w:t>; CACI 24 juin 2015/325 consid. 2 ; CACI 25 novembre 2014/607 consid. 3a). Dans le cas présent, les pièces nouvelles que l'appelante a jointes à son acte d'appel sont dès lors irrecevables. 2. 2.1 L’appelante soutient que la juge de paix ne l’aurait pas laissée parler et aurait refusé des documents lors de l’audience du 21 mai 2021. 2.2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 citées). 2.3 En l’espèce, l’appelante ne rend pas vraisemblable les faits qu’elle avance, cela d’autant qu’elle ne précise pas le contenu des éléments dont elle aurait voulu faire part à la juge de paix. Il ressort par ailleurs du procès-verbal de l’audience en question qu’elle a pu se déterminer sur la requête et qu’elle a produit des pièces. En outre, son acte d’appel ne comporte pas de faits pertinents nouveaux et les nouvelles pièces produites, certes jugées irrecevables, ne comportent de toute manière aucun nouvel élément pertinent pour juger la présente cause. 3. 3.1 L’appelante soutient que son expulsion ne serait pas justifiée, soutenant en substance que l’intimé n’aurait rien entrepris pour réparer les graves défauts annoncés et qu’elle-même n’avait pas l’intention de ne pas payer son loyer, mais uniquement de faire respecter ses droits. 3.2 3.2.1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3.2.2 En vertu de l'art. 257d al. 1 CO (Code des obligations du 30 mars 1911 ; RS 220), lorsque, après la réception de la chose, le locataire a du retard pour s'acquitter d'un terme ou de frais accessoires échus, le bailleur peut lui fixer par écrit un délai de paiement, qui sera au minimum de trente jours pour les baux d'habitations, et lui signifier qu'à défaut de paiement dans ce délai, il résiliera le bail. Selon l'art. 257d al. 2 CO, faute de paiement dans le délai fixé, le bailleur peut résilier le bail, en observant pour les baux d'habitations un délai de congé minimum de trente jours pour la fin d'un mois. L'avis comminatoire du bailleur est un acte soumis à réception relative : il ne fait courir le délai de paiement qu'à partir du jour où le locataire en a effectivement pris connaissance, et non seulement depuis le jour où il est parvenu dans la sphère d'influence de son destinataire, mais au plus tard dès l'échéance du délai de garde (cf. Pierre Wessner, in Bohnet/Carron/Montini [édit.], Droit du bail à loyer et à ferme, Commentaire pratique, 2 e éd., 2017, n. 21 ad art. 257d CO p. 246 avec les réf. cités). 3.2.3 La consignation est l'opération par laquelle une personne (le consignant) remet une chose mobilière à une autre personne (le consignataire), en faveur d'un tiers bénéficiaire, le consignataire s'engageant à la conserver jusqu'à ce que ce tiers ou le consignant soit autorisé à lui en réclamer la délivrance. La consignation prévue aux art. 259g ss CO est une consignation à titre d'exécution ; le débiteur, en remettant la chose à un tiers, est réputé exécuter son obligation et échappe ainsi aux conséquences de l'inexécution. Il s'agit d'un mode d'extinction d'une obligation tenant lieu d'exécution ou équivalant au paiement (Aubert, Commentaire romand, Code des obligations I, 2 e éd. 2012, nn. 8-10 ad art. 259g CO). Selon l'art. 259g al. 2 CO, les loyers consignés sont réputés payés. Le locataire qui prétend avoir une créance en réduction de loyer ou en dommages-intérêts pour cause de défauts de l’objet loué n’est pas en droit de retenir tout ou partie du loyer échu ; il n’a en principe que la possibilité de consigner le loyer, l’art. 259g CO étant une lex specialis par rapport à l’art. 82 CO. Il est donc dans son tort s'il retient le loyer (TF 4A_140/2014 du 6 août 2014 consid. 5.2 ; TF 4A_537/2016 du 16 novembre 2016 consid. 4.2 ; Wey, La consignation du loyer, thèse Lausanne, 1995, p. 64 ; Lachat/Rubli, Le bail à loyer, 2019, ch. 13.7.4.8 p. 341 ; Aubert, CPra-Bail, 2 e éd., 2016, n. 10 ad art. 259g CO).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 créance certaine » (TF 4A_140/2014 du</w:t>
      </w:r>
    </w:p>
    <w:p>
      <w:r>
        <w:rPr>
          <w:b/>
        </w:rPr>
        <w:t>E. 6</w:t>
      </w:r>
    </w:p>
    <w:p>
      <w:r>
        <w:t>Les frais judiciaires de deuxième instance, arrêtés à 200 fr. (art. 62 al. 3, 69 al. 1 TFJC [tarif des frais judiciaires en matière civile du 28 septembre 2010 ; BLV 270.11.5]), seront mis à la charge de l'appelante, qui succombe (art. 106 al. 1 CPC). Il n'y a pas lieu d'allouer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