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64 vom 3. Februar 2021</w:t>
      </w:r>
    </w:p>
    <w:p>
      <w:r>
        <w:t>VD Tribunal cantonal, 2021-02-03, FR</w:t>
      </w:r>
    </w:p>
    <w:p>
      <w:r>
        <w:rPr>
          <w:b/>
        </w:rPr>
        <w:t xml:space="preserve">Quelle: </w:t>
      </w:r>
      <w:r>
        <w:t>https://mcp.opencaselaw.ch/entscheid/vd_findinfo_HC___2021___64</w:t>
      </w:r>
    </w:p>
    <w:p>
      <w:r>
        <w:t>FR: VD_FINDINFO HC / 2021 / 64 du 3 février 2021</w:t>
      </w:r>
    </w:p>
    <w:p>
      <w:r>
        <w:t>IT: VD_FINDINFO HC / 2021 / 64 del 3 febbraio 2021</w:t>
      </w:r>
    </w:p>
    <w:p>
      <w:pPr>
        <w:pStyle w:val="Heading2"/>
      </w:pPr>
      <w:r>
        <w:t>Regeste</w:t>
      </w:r>
    </w:p>
    <w:p>
      <w:r>
        <w:t>GARDE ALTERNÉE, GARDE DE FAIT, MESURE PROVISIONNELLE, MODIFICATION DES CIRCONSTANCES, JUGEMENT DE DIVORCE, REVENU HYPOTHÉTIQUE | 176 al. 3 CC, 285 CC, 298 al. 2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principalement non pécuniaires, le présent 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Dans le cadre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 2 CPC) sont toutefois applicables.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 En l’espèce, l’appelante a annoncé la production d’un rapport qui serait établi par le Centre de consultation des Boréales. Ce rapport n’a pas été produit. Il n’y a pas lieu à cet égard d’ordonner l’audition comme témoins d’ « intervenants des Boréales », comme l’appelante l’a requis, sans d’ailleurs préciser l’identité de ces témoins.</w:t>
      </w:r>
    </w:p>
    <w:p>
      <w:r>
        <w:rPr>
          <w:b/>
        </w:rPr>
        <w:t>E. 3.1</w:t>
      </w:r>
    </w:p>
    <w:p>
      <w:r>
        <w:t>L'appelante soutient qu’il se justifierait de lui confier d’urgence la garde exclusive des trois enfants. A cet égard, elle rappelle tout d’abord que le premier juge avait expressément retenu que la séparation de la fratrie n’était justifiée qu’à la condition que les démarches thérapeutiques entreprises aient des effets bénéfiques suffisants susceptibles de remédier aux difficultés actuelles, faute de quoi la garde exclusive en sa faveur s’imposerait. Or, selon elle, cette condition ne serait plus remplie, dès lors que l’intimé se serait entre temps opposé aux démarches en question, ne ferait aucun progrès dans la confiance à accorder à l’appelante et serait inadéquat aussi bien dans la planification des activités de ses enfants que dans la communication avec eux. L’appelante relève encore que la DGEJ recommande elle-même sans délai l’octroi de la garde exclusive des trois enfants en sa faveur, tout en requérant l’audition des intervenants des Boréales et annonçant un rapport à venir. Celui-ci a été adressé le 20 janvier dernier au juge de céans par la DGEJ. L’appelante a par ailleurs produit un courriel qu’elle avait elle-même adressé à son avocat et qui relate de manière négative le premier week-end de « retrouvailles » entre M.________ et son père (pièce 8). L’appelante fait également valoir que l'enfant O.________ pleurerait sans discontinuer chaque fois qu'elle devait se rendre chez son père et qu'elle l'appelait souvent quand elle était chez lui, qu'elle avait eu une crise d'angoisse à l'école, qu'il lui arrivait de revenir chez sa mère durant la semaine de garde du père et qu’elle aurait confié à l'assistante sociale que la séparation d'avec sa soeur M.________ durant les week-ends et les vacances chez son père lui pesaient beaucoup. Elle a produit les pièces suivantes à l’appui de son grief : - un courriel de l’assistante sociale [...] du 16 novembre 2020, relatant qu’O.________ lui avait fait part du fait que l’absence de M.________ lui pesait beaucoup, qu’elle se sentait seule et que son souhait était que sa sœur puisse revenir (pièce 6); - un courriel de la maîtresse d’école d’O.________ du 20 novembre 2020, dans lequel elle a indiqué qu’O.________ avait eu une crise d’angoisse pendant un test de mathématique, qu’elle n’avait pas pu verbaliser la cause de cette crise, mais avait avoué en avoir souvent, et qu’elle ne voulait pas décevoir ses parents, tout en ajoutant que le reste de la journée s’était toutefois bien déroulé (pièce 7).</w:t>
      </w:r>
    </w:p>
    <w:p>
      <w:r>
        <w:rPr>
          <w:b/>
        </w:rPr>
        <w:t>E. 3.2</w:t>
      </w:r>
    </w:p>
    <w:p>
      <w:r>
        <w:t>Selon l'art. 176 al. 3 CC (Code civil suisse du 10 décembre 1907 ; RS 210), applicable à l’organisation de la vie séparée des époux, le juge ordonne les mesures nécessaires, d’après les dispositions sur les effets de la filiation (art. 273 ss CC), lorsqu’il y a des enfants mineurs. Il peut notamment attribuer la garde à un seul des parents et statuer sur les relations personnelles (art. 298 al. 2 CC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5A_66/2019 du 5 novembre 2019 consid. 4.1 ; TF 5A_794/2017 du 7 février 2018 consid. 3.1). De manière générale, il y a lieu d’éviter de séparer une fratrie, cela afin de ne pas compromettre, sans raison impérieuse, les liens d’affections qui unissent les enfants entre eux, ainsi que les bénéfices de l’éducation qu’ils ont reçue en commun (ATF 115 II 317 consid. 2) ; si l’écart d’âge entre les enfants et la faible intensité de leur relation permet une séparation dans certains cas (TF 5A_444/2008 du 14 août 2008 c. 3.6), ceci ne doit pas être la règle, le bien des enfants commandant d'examiner soigneusement l'ensemble des circonstances (CACI 1 er novembre 2012/514 consid. 3c). 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[concernant l'art. 157 aCC] ; TF 5A_781/2015 du 14 mars 2016 consid. 3.2.2 et les réf. citées [concernant l'art. 134 CC]).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5A_848/2018 du 16 novembre 2018 consid. 5.1.2 ; TF 5A_781/2015 précité consid. 3.2.2 et les réf. citées [concernant l'art. 134 CC]). On rappellera également que, d'une manière générale, en matière de garde, des changements trop fréquents peuvent être préjudiciables à l'intérêt de l'enfant (notamment TF 5A_792/2018 du 6 février 2019 consid. 3.2.2 et les réf. citées). Enfin,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(entre autres : TF 5A_756/2019 du 13 février 2020 consid. 3.1.2 et les réf. citées).</w:t>
      </w:r>
    </w:p>
    <w:p>
      <w:r>
        <w:rPr>
          <w:b/>
        </w:rPr>
        <w:t>E. 3.3.1</w:t>
      </w:r>
    </w:p>
    <w:p>
      <w:r>
        <w:t>En l'espèce, les deux parents ont estimé qu'il était préférable que la mère ait la garde de l'aînée. La question qui se pose est celle de savoir s'il faut confier la garde exclusive d’O.________ et de P.________ à leur mère, notamment pour ne pas séparer la fratrie. Ceux-ci ont été entendus successivement par le premier juge et par l'assistante sociale de la DGEJ sur cette question et ont constamment exprimé le voeu qu'il n'y ait pas de changement de statut. Il faudrait ainsi une raison impérieuse pour aller contre ce souhait régulièrement exprimé. L’appelante a requis « au besoin » l’audition des enfants M.________ et O.________. Elle ne prétend pas que les enfants auraient changé d’avis, mais requiert leur audition pour tenter de démontrer les difficultés qu’il y aurait entre l’intimé et l’enfant O.________, qui ne sont pas contestées et le fait qu’il se méfierait de l’appelante. Or la manque de confiance mutuel (cf. infra) entre les parties est clair. Il n’y a donc pas à entendre ces enfants une nouvelle fois. Il ne ressort pas du dossier, et cela n'est même pas vraiment prétendu, que l'un ou l'autre parent aurait des déficiences éducatives qui excluraient que la garde lui soit confiée. Le problème n'est manifestement pas là, mais réside dans les mauvaises relations entre les parties elles-mêmes. Ainsi, les rapports de la DGEJ des 7 juillet et 26 août 2020 relèvent notamment le manque de confiance du père en l'appelante. Cela étant, les multiples procédures engagées par celle-ci montrent pour le moins un manque égal de confiance de sa part envers l’intimé et ont pour effet de reporter sur les enfants les conflits des parents. Les enfants paraissent ainsi plus souffrir de cette situation que du régime de la garde. Dans ces circonstances, il paraît peu probable que la situation s’apaiserait de manière significative si les enfants étaient confiés à leur mère, avec un droit de visite usuel du père, puisque cela n’empêcherait vraisemblablement pas les enfants de ressentir le manque de confiance entre les parties et leurs conflits. Il est par ailleurs fort probable que les enfants souffrent de la procédure elle-même, notamment du fait d'être entendus à de multiples reprises au sujet de cette procédure, et de devoir régulièrement s'exprimer sur le ou les parents auprès duquel ils désireraient vivre. Pour une évolution favorable de la situation, le changement doit d’abord émaner du comportement des parents. Dans l’attente d’un éventuel résultat positif des démarches entreprises dans ce sens, les changements relatifs aux droits de garde et de visite sont peu souhaitables et doivent être limités au strict nécessaire, la stabilité des enfants étant primordiale. Cela est d’autant plus le cas que l’on se trouve au stade des mesures provisionnelles et qu’il faut absolument éviter un changement sur lequel il y aurait peut-être à revenir à l'occasion du jugement au fond.</w:t>
      </w:r>
    </w:p>
    <w:p>
      <w:r>
        <w:rPr>
          <w:b/>
        </w:rPr>
        <w:t>E. 3.3.2</w:t>
      </w:r>
    </w:p>
    <w:p>
      <w:r>
        <w:t>Les éléments nouveaux produits par l’appelante ne sont par ailleurs pas de nature à modifier ce point de vue. En ce qui concerne O.________, s’il apparaît certes qu’elle souffre d’être séparée de sa grande sœur, il ressort également du courriel produit en pièce</w:t>
      </w:r>
    </w:p>
    <w:p>
      <w:r>
        <w:rPr>
          <w:b/>
        </w:rPr>
        <w:t>E. 6</w:t>
      </w:r>
    </w:p>
    <w:p>
      <w:r>
        <w:t>que son souhait ne serait pas de vivre exclusivement auprès de sa mère, mais plutôt que sa sœur revienne auprès de son père. Quant à sa crise d’angoisse survenue pendant un test de mathématique, il est peu probable qu’elle ait un lien de causalité direct avec la modification de la garde de M.________. Enfin, la pièce 8 produite n'a aucune valeur probante en tant qu’elle émane de l’appelante elle-même et son contenu ne révèle d'ailleurs rien d’alarmant. On constate d’ailleurs que dans son courriel du 16 novembre 2020, l’assistante sociale de la DGEJ fait également allusion à une grosse dispute entre M.________ et sa mère, au terme de laquelle M.________ serait finalement allée dormir chez son père. Il apparaît ainsi que les deux parties connaissent des problèmes ponctuels avec leurs enfants, ce qui est d’ailleurs dans l’ordre des choses. En définitive, aucun des éléments invoqués ne permet de retenir que le transfert de la garde exclusive de la mère sur les trois enfants constituerait en l’état une solution qui répondrait mieux à l’intérêt des enfants, étant rappelé que le processus thérapeutique est en cours et qu’il y a lieu d’éviter des changements trop fréquents de garde, néfastes pour la stabilité des enfants. Il faut surtout rappeler, enfin, que la séparation de la fratrie n'est de loin pas complète, les enfants étant réunis une semaine sur deux et tous les week-ends. Il y a ainsi lieu de confirmer l’ordonnance sur ce point. On relèvera encore que dans la mesure où on en tiendra compte, le nouveau rapport de la DGEJ du 20 janvier 2020 n’apporte pas d’éléments susceptibles de remettre en cause, en l’état, ce qui précède. S’il mentionne effectivement que le travail autour de la coparentalité au Centre de consultation des Boréales est actuellement dans une impasse, il fait également état d’autres démarches en cours. 4. 4.1 L’appelante conteste ensuite le montant des contributions d’entretien. 4.2 En premier lieu, l'appelante s'en prend à l'état de fait retenu en soutenant que son revenu ne serait pas de 12'000 fr. par mois, mais de 11'117 fr. 35 par mois. A cet égard, le premier juge a retenu que les parties s’étaient entendues sur le montant de 12'000 francs lors de l’audience du 15 septembre 2020, accord qui ressort effectivement du procès-verbal de l'audience (page 16). L'appelante ne le conteste d’ailleurs pas. Cela étant, ce moyen doit être rejeté. Par surabondance de motifs, les pièces produites par l’appelante (pièce 3) permettent de constater que ce grief serait de toute manière sans fondement, même sans l’accord précité. Il en ressort en effet que l'intéressée perçoit un salaire de 13'000 fr. brut, dont à déduire 1'924 fr. 45 de déductions sociales, ce qui lui laisse un revenu net de 11'075 fr. 55. Avec le treizième salaire, on obtient 11'998 fr. 51 (11'075 fr. 55 x 13/12), sans tenir compte de 900 fr. de frais de représentation et de 400 fr. de « forfait véhicule ». 4.3 4.3.1 L'appelante fait ensuite valoir que l'intimé devrait augmenter son taux de travail, soutenant implicitement que le premier juge aurait dû retenir un salaire hypothétique à son égard. 4.3.2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(ATF 137 III 118 consid. 3.1; TF 5A_47/2017 du 6 novembre 2017 consid. 8.2 non publié aux ATF 144 III 10), en sorte que les parents doivent réellement épuiser leur capacité maximale de travail et ne peuvent pas librement choisir de modifier leurs conditions de vie si cela a une influence sur leur capacité à subvenir aux besoins de l'enfant mineur (TF 5A_764/2017 du 7 mars 2018 consid. 3.2; 5A_119/2017 du 30 août 2017 consid. 4.1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(TF 5A_119/2017 précité consid. 4.1 et les références; 5A_120/2014 du 2 septembre 2014 consid. 4.1 et les références).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TF 5A_47/2017 précité consid. 8.2 et 5A_21/2012 du 3 mai 2012 consid. 3.3). Les parents doivent ainsi s'adapter tant du point de vue professionnel que du point de vue spatial pour épuiser de manière maximale leur capacité de travail (TF 5A_90/2017 du 24 août 2017 consid. 5.3.1 et 5A_513/2012 du 17 octobre 2012 consid. 4). Ainsi, le fait d’arriver en fin de droit pour des prestations de chômage n’est pas suffisant, à lui seul, pour établir une incapacité à réaliser un quelconque revenu, s’il apparaît que l’intéressé est en mesure, avec une meilleure volonté, de trouver un emploi (CACI 15 septembre 2015/479).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4.3.3 En l'espèce, les parties sont financièrement indépendantes l’une de l’autre. L'intimé a traversé une période de chômage et a retrouvé du travail à l'âge de cinquante-six ans à un taux de 88%, proche d’un temps plein. Sa volonté de travailler ne fait ainsi a priori aucun doute. La garde alternée sur deux de ces enfants, âgés de 9 et 10 ans, lui a par ailleurs été confiée et les parties disposent ensemble des ressources nécessaires pour couvrir les besoins des enfants. Dans ces conditions et en l’état, sans préjuger du fond du litige, il n’y a pas lieu d’exiger de lui qu’il augmente son taux d’activité. Il n’est d’ailleurs pas certain qu’il aurait la possibilité de le faire. Il n’y a dès lors pas lieu de lui imputer un revenu hypothétique. 4.4 Pour le surplus, la contestation de l’appelante est la conséquence du changement requis dans la garde des enfants. Le mode de garde ayant été confirmé, ce grief est ainsi sans objet. 5. Compte tenu de ce qui précède, l’appel doit être rejeté et l’ordonnance entièrement confirmée. Les frais judiciaires de deuxième instance, fixés à 600 fr. (art. 65 al. 2 TFJC [tarif des frais judiciaires civils du 28 septembre 2010 ; BLV 270.11.5], seront mis à la charge de l’appelante, qui succombe (art. 106 al. 1 CPC). L’appelante versera par ailleurs un montant de 1'500 fr. à l’intimé à titre de dépens. Par ces motifs, le juge délégué de la Cour d’appel civile prononce : I. L’appel est rejeté. II. L’ordonnance est confirmée. III. Les frais judicaires de deuxième instance, fixés à 600 fr. (six cents francs), sont mis à la charge de l’appelante A.________. IV. L’appelante A.________ versera un montant de 1'500 fr. (mille cinq cents francs) à l’intimé F.________ à titre de dépens Le juge délégué : La greffière : Du Le présent arrêt, dont la rédaction a été approuvée à huis clos, est notifié en expédition complète à : ‑ Me Bernard de Chedid (pour A.________), ‑ Mes Romain Rochani et Mireille Loroch (pour F.________)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