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604 vom 9. August 2021</w:t>
      </w:r>
    </w:p>
    <w:p>
      <w:r>
        <w:t>VD Tribunal cantonal, 2021-08-09, FR</w:t>
      </w:r>
    </w:p>
    <w:p>
      <w:r>
        <w:rPr>
          <w:b/>
        </w:rPr>
        <w:t xml:space="preserve">Quelle: </w:t>
      </w:r>
      <w:r>
        <w:t>https://mcp.opencaselaw.ch/entscheid/vd_findinfo_HC___2021___604</w:t>
      </w:r>
    </w:p>
    <w:p>
      <w:r>
        <w:t>FR: VD_FINDINFO HC / 2021 / 604 du 9 août 2021</w:t>
      </w:r>
    </w:p>
    <w:p>
      <w:r>
        <w:t>IT: VD_FINDINFO HC / 2021 / 604 del 9 agosto 2021</w:t>
      </w:r>
    </w:p>
    <w:p>
      <w:pPr>
        <w:pStyle w:val="Heading2"/>
      </w:pPr>
      <w:r>
        <w:t>Regeste</w:t>
      </w:r>
    </w:p>
    <w:p>
      <w:r>
        <w:t>EXPULSION DE LOCATAIRE, CAS CLAIR, ADMISSION DE LA DEMANDE, LOGEMENT DE LA FAMILLE, BAIL À LOYER, LOCAL PROFESSIONNEL | 257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Cependant,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Lorsque la décision entreprise a été rendue en procédure sommaire, comme c'est le cas dans la procédure en cas clair (art. 248 let. b CPC), le délai d'appel est de dix jours (art. 314 al. 1 CPC).</w:t>
      </w:r>
    </w:p>
    <w:p>
      <w:r>
        <w:rPr>
          <w:b/>
        </w:rPr>
        <w:t>E. 1.2</w:t>
      </w:r>
    </w:p>
    <w:p>
      <w:r>
        <w:t>En l’espèce, quel que soit le mode de calcul de la valeur litigieuse, celle-ci est de toute manière supérieure à 10'000 fr., compte tenu d’un loyer mensuel brut de 6'395 fr., de sorte que la voie de l’appel est ouverte. Pour le surplus, formé en temps utile par une partie qui y a un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2020/540 consid. 2).</w:t>
      </w:r>
    </w:p>
    <w:p>
      <w:r>
        <w:rPr>
          <w:b/>
        </w:rPr>
        <w:t>E. 3.1</w:t>
      </w:r>
    </w:p>
    <w:p>
      <w:r>
        <w:t>Les appelantes font grief au premier juge d’avoir considéré que la cause relevait de la procédure en cas clair alors que la situation juridique ne le permettait pas. Elles soutiennent par ailleurs que les conditions formelles de la résiliation du contrat de bail n’ont pas été respectées, en particulier celles en lien avec la protection du logement de famille des art. 266n et 266o CO.</w:t>
      </w:r>
    </w:p>
    <w:p>
      <w:r>
        <w:rPr>
          <w:b/>
        </w:rPr>
        <w:t>E. 3.2.1</w:t>
      </w:r>
    </w:p>
    <w:p>
      <w:r>
        <w:t>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 Dans les contestations du droit de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qu’en particulier le juge n’avait pas à exercer son devoir d’interpellation, et que le congé apparaît clairement justifié sur cette base (ATF 142 IIII 515 consid. 2.2.4 ; TF 4A_609/2020 du 26 mars 2021 consid. 4 ; TF 4A_440/2016 du 24 octobre 2016 consid. 5.2.2 ; TF 4A_184/2015 du 11 août 2015 consid. 4.2.2, non publié à l’ATF 141 III 262 ; TF 4A_265/2013 du 8 juillet 2013 consid. 6 ; TF 4A_7/2012 du 3 avril 2012 consid. 2.5, RSPC 2012 p. 387 ; Colombini, op. cit., n. 5.5 ad art. 257 CPC).</w:t>
      </w:r>
    </w:p>
    <w:p>
      <w:r>
        <w:rPr>
          <w:b/>
        </w:rPr>
        <w:t>E. 3.2.2</w:t>
      </w:r>
    </w:p>
    <w:p>
      <w:r>
        <w:t>Aux termes de l’art. 266n CO, Le congé donné par le bailleur ainsi que la fixation d’un délai de paiement assorti d’une menace de résiliation (art. 257d) doivent être communiqués séparément au locataire et à son conjoint ou à son partenaire enregistré. Le congé qui ne satisfait pas à cette condition est nul (art. 266o CO).</w:t>
      </w:r>
    </w:p>
    <w:p>
      <w:r>
        <w:rPr>
          <w:b/>
        </w:rPr>
        <w:t>E. 3.2.3</w:t>
      </w:r>
    </w:p>
    <w:p>
      <w:r>
        <w:t>En présence d’un contrat de bail unique, lorsque la destination des locaux est mixte, certains d’entre eux étant destinés à un usage commercial et d’autres à l’habitation, il convient de déterminer quelle est la destination prépondérante desdits locaux pour savoir si ce sont les règles sur les locaux commerciaux qui doivent s’appliquer ou celles relatives aux baux d’habitation. En pareille situation, il y a lieu de se fonder sur des données subjectives (volonté des parties) et objectives (surface réservée à chacun des usagers ; installations existantes, etc.) pour déterminer le caractère prépondérant de la destination des locaux en question, seul étant décisif l’usage entrevu par les parties au moment de la conclusion du bail, et non l’usage effectif ultérieur. Cependant, si dans les locaux loués se trouve un logement familial, les règles protectrices des art. 121 et 169 CC, ainsi que 266m, 266n et 273a CO s’appliquent, même si l’aspect logement n’est pas prépondérant (ATF 137 III 208 consid. 2.3 ; David Lachat, Le bail à loyer, Bâle 2019, n. 4.3.3 et les réf. citées). Dans cette hypothèse, la jurisprudence a considéré qu’une famille ne saurait être privée de la possibilité d’invoquer les normes protectrices susmentionnées sous le seul prétexte qu’elle habite, peut-être par nécessité économique, dans les locaux qu’elle a pris à bail afin de mener une activité économique (ATF 137 III 208 consid. 2.3).</w:t>
      </w:r>
    </w:p>
    <w:p>
      <w:r>
        <w:rPr>
          <w:b/>
        </w:rPr>
        <w:t>E. 3.3</w:t>
      </w:r>
    </w:p>
    <w:p>
      <w:r>
        <w:t>Le premier juge a constaté que les parties avaient conclu un contrat de bail mixte, de sorte qu’il convenait de déterminer si l’on se devait d’appliquer les règles du bail commercial ou celles du bail d’habitation. A cet égard, le premier juge a retenu que le contrat de bail du 10 juillet 2014 prévoyait expressément la destination des locaux, à savoir « RESTAURANT et habitation » et précisait dans ses dispositions particulières que l’appartement était loué en tant que logement de fonction et devait obligatoirement être occupé par les tenanciers du restaurant et leurs collaborateurs (ch. 31.2a). Le premier juge a dès lors considéré que c’était bien l’activité commerciale qui était prépondérante dans le contrat de bail susmentionné, de sorte que l’appartement et les chambres n’étaient qu’un accessoire du bail commercial et que les règles du bail commercial s’appliquaient. Il a ensuite constaté que l’entier de l’arriéré de loyer n’avait pas été acquitté dans le délai de trente jours imparti et que si les locataires avaient certes contesté en temps utile la résiliation devant la Commission de conciliation, mais il n’existait aucun motif d’annulabilité du congé, une prolongation de bail n’étant par ailleurs pas possible en cas de demeure du locataire. Le premier juge est ainsi parvenu à la conclusion que le congé était valable et que l’on était en présence d’un cas clair au sens de l’art. 257 CPC, de sorte qu’il a fait droit à la requête d’expulsion de la bailleresse.</w:t>
      </w:r>
    </w:p>
    <w:p>
      <w:r>
        <w:rPr>
          <w:b/>
        </w:rPr>
        <w:t>E. 3.4</w:t>
      </w:r>
    </w:p>
    <w:p>
      <w:r>
        <w:t>On relèvera d’emblée qu’en procédant à l’interprétation du contrat de bail à loyer passé entre les parties pour déterminer s’il s’agissait d’un bail commercial ou d’habitation, et partant, les normes applicables au cas qui lui était soumis, le premier juge ne pouvait estimer que la situation juridique était claire. En effet, on ne saurait considérer que les normes à appliquer s’imposaient de façon évidente au regard du texte légal ou sur la base d’une doctrine ou d’une jurisprudence éprouvée. Mais surtout, dans leurs déterminations spontanées du 16 avril 2021, les appelantes ont fait valoir l’existence d’un logement familial et elles ont produit une copie du livret de famille, attestant du mariage de l’appelante A.T.________ d’avec B.T.________. Dès lors que le premier juge était informé de la problématique du mariage et du logement familial, celui-ci ne pouvait sans autre écarter cette question. Les appelantes ont invoqué la nullité de la résiliation du bail en se fondant sur les art. 266n et 266o CO, l’inefficacité du congé pouvant être constatée en tout temps et devant être relevée d’office par le juge. Dans ces conditions, si le premier juge entendait remettre en question l’existence du logement familial, il aurait dû, à tout le moins, interpeller les locataires et attirer leur attention sur le fait qu’il n’entendait pas se satisfaire de leurs allégations et de la copie du livret de famille produite. Selon la jurisprudence du Tribunal fédéral, il y a effectivement lieu de partir, en principe, de l’idée que des époux vivent sous le même toit (présomption de fait), ce qui devait conduire à l’application des normes protectrices applicables au congé impliquant, sous peine de nullité, à une communication séparée du congé au locataire et à son conjoint (TF 4C_441/2006 du 23 mars 2007 consid. 4.3.2). La question de l’existence d’un logement de famille, soulevée par les appelantes, était donc déterminante et empêchait le premier juge de considérer que l’état de fait, tel qu’allégué par l’intimée, était clair. Partant, même si le premier juge est parvenu à la conclusion que la destination prépondérante des locaux assujettissait le contrat passé par les parties aux règles applicables en matière de bail commercial, l’existence probable, en l’état du dossier, d’un logement de famille lui imposait de toute manière de prendre en compte les normes protectrices s’y rapportant. Il s’ensuit que la protection par la voie du cas clair ne pouvait trouver application. Au surplus, on relèvera que, dans sa prise de position du 21 avril 2021, la bailleresse a de son côté invoqué notamment l’abus de droit des locataires à faire valoir un logement familial comme motif de nullité du congé. Or, une telle question ne saurait être résolue sans instruction dans le cadre d’une procédure en cas clair. Au vu de ce qui précède, il convient de considérer que l’état de fait et la situation juridique ne peuvent être qualifiés de clairs au sens de l’art. 257 CPC, de sorte qu’en application de l’art. 257 al. 3 CPC, la requête déposée en ce sens doit être déclarée irrecevable.</w:t>
      </w:r>
    </w:p>
    <w:p>
      <w:r>
        <w:rPr>
          <w:b/>
        </w:rPr>
        <w:t>E. 4.1</w:t>
      </w:r>
    </w:p>
    <w:p>
      <w:r>
        <w:t>En définitive, l’appel doit être admis et l’ordonnance entreprise réformée en ce sens que la requête en cas clair tendant à l’expulsion des appelantes déposée le 3 février 2021 est irrecevable.</w:t>
      </w:r>
    </w:p>
    <w:p>
      <w:r>
        <w:rPr>
          <w:b/>
        </w:rPr>
        <w:t>E. 4.2</w:t>
      </w:r>
    </w:p>
    <w:p>
      <w:r>
        <w:t>Si l’instance d’appel statue à nouveau, elle se prononce sur les frais – soit les frais judiciaires et les dépens (art. 95 al. 1 CPC) – de la première instance (art. 318 al. 3 CPC). Les frais judiciaires de première instance, arrêtés à 480 fr. (art. 28 al. 1 TFJC [tarif des frais judiciaires civils du 28 septembre 2010 ; BLV 270.11.5]), doivent être mis à la charge de l’intimée qui succombe (art. 106 al. 1 CPC). L’intimée devra en outre verser la somme de 1'500 fr. aux appelantes, créancières solidaires, à titre de dépens de première instance.</w:t>
      </w:r>
    </w:p>
    <w:p>
      <w:r>
        <w:rPr>
          <w:b/>
        </w:rPr>
        <w:t>E. 4.3</w:t>
      </w:r>
    </w:p>
    <w:p>
      <w:r>
        <w:t>Vu l’issue de l’appel, les frais judiciaires de deuxième instance, arrêtés à 2'047 fr. (art. 62 al. 1 et 3 TFJC), seront mis à la charge de l’intimée qui succombe (art. 106 al. 1 CPC). L’intimée devra en outre verser aux appelantes de pleins dépens de deuxième instance pour l’intervention de leur conseil, arrêtés à 2'000 fr. (art. 7 et 20 al. 2 TDC ; [tarif des dépens en matière civile du 23 novembre 2012 ; BLV 270.11.6]). Par conséquent, l’intimée versera aux appelantes, créancières solidaires, la somme de 3'104 fr. à titre de dépens et de restitution d’avance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