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584 vom 20. August 2021</w:t>
      </w:r>
    </w:p>
    <w:p>
      <w:r>
        <w:t>VD Tribunal cantonal, 2021-08-20, FR</w:t>
      </w:r>
    </w:p>
    <w:p>
      <w:r>
        <w:rPr>
          <w:b/>
        </w:rPr>
        <w:t xml:space="preserve">Quelle: </w:t>
      </w:r>
      <w:r>
        <w:t>https://mcp.opencaselaw.ch/entscheid/vd_findinfo_HC___2021___584</w:t>
      </w:r>
    </w:p>
    <w:p>
      <w:r>
        <w:t>FR: VD_FINDINFO HC / 2021 / 584 du 20 août 2021</w:t>
      </w:r>
    </w:p>
    <w:p>
      <w:r>
        <w:t>IT: VD_FINDINFO HC / 2021 / 584 del 20 agosto 2021</w:t>
      </w:r>
    </w:p>
    <w:p>
      <w:pPr>
        <w:pStyle w:val="Heading2"/>
      </w:pPr>
      <w:r>
        <w:t>Regeste</w:t>
      </w:r>
    </w:p>
    <w:p>
      <w:r>
        <w:t>MESURE PROVISIONNELLE, OBLIGATION D'ENTRETIEN, CONJOINT, MODIFICATION DES CIRCONSTANCES, REJET DE LA DEMANDE, DIVORCE | 179 al. 1 CC, 316 al. 1 CPC (CH), 316 al. 3 CPC (CH), 317 al. 1 CPC (CH)</w:t>
      </w:r>
    </w:p>
    <w:p>
      <w:pPr>
        <w:pStyle w:val="Heading2"/>
      </w:pPr>
      <w:r>
        <w:t>Erwägungen</w:t>
      </w:r>
    </w:p>
    <w:p>
      <w:r>
        <w:rPr>
          <w:b/>
        </w:rPr>
        <w:t>E. 1</w:t>
      </w:r>
    </w:p>
    <w:p>
      <w:r>
        <w:t>U.________, né le [...] 1960, et Y.________, née [...] le [...] 1973, tous deux de nationalité suisse, se sont mariés le [...] 1998 à [...] (Roumanie). Deux enfants sont issus de cette union : - Q.________, née le [...] 1999, aujourd’hui majeure ; - E.________, né le [...] 2004.</w:t>
      </w:r>
    </w:p>
    <w:p>
      <w:r>
        <w:rPr>
          <w:b/>
        </w:rPr>
        <w:t>E. 1.1</w:t>
      </w:r>
    </w:p>
    <w:p>
      <w:r>
        <w:t>L'appel est recevable contre les ordonnances de mesures provisionnelles (art. 308 al. 1 let. b CPC), dans les affaires patrimoniales, lorsque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Pour le calcul de la valeur litigieuse devant l'autorité d'appel, seules sont déterminantes les dernières conclusions prises devant la juridiction de première instance, peu importe le montant que celle-ci a finalement alloué (TF 5D_13/2017 du 4 décembre 2017 consid. 5.2) Les ordonnances de mesures provisionnelles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(art. 92 CPC), sont supérieures à 10'000 fr., l’appel est recevable. 2.</w:t>
      </w:r>
    </w:p>
    <w:p>
      <w:r>
        <w:rPr>
          <w:b/>
        </w:rPr>
        <w:t>E. 2</w:t>
      </w:r>
    </w:p>
    <w:p>
      <w:r>
        <w:t>Les parties vivent séparées depuis le mois de septembre 2015. Les modalités de leur séparation sont régies par une convention signée le 3 juillet 2015 et ratifiée le 18 septembre 2015 sur le siège par le président pour valoir ordonnance de mesures protectrices de l’union conjugale. A teneur de cette convention, les parties ont prévu notamment et en substance que la garde sur les enfants étaient attribuées à Y.________ (ch. II) et que U.________ exercerait un libre et large droit de visite à l’égard des enfants ou, à défaut d’entente, un droit de visite usuel (ch. III). Par ailleurs, les chiffre V et VIII sont libellés comme suit : « V.- Chacun des parents assumera les frais courants des enfants lorsque ceux-ci sont auprès de lui, notamment les frais relatifs au logement, à la nourriture et aux soins corporels. Parties se partageront par moitié les frais de scolarité, de loyer et de repas liés à l’échange linguistique (deuxième année de gymnase en Suisse allemande) de Q.________. S’agissant des autres frais fixes usuels relatifs aux enfants, soit notamment les primes d’assurance-maladie, les frais médicaux et dentaires, les frais d’habillement, les frais de transports, ceux-ci seront assumés par Y.________. Cette dernière prendra aussi à sa charge les frais de scolarité privée d’E.________. […] VIII.- Parties renoncent à toute contribution d’entretien l’une à l’égard de l’autre.»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contrôle librement l’appréciation des preuves effectuées par le juge de première instance et vérifie si celui-ci pouvait admettre les faits qu’il a retenus (ATF 138 III 374 consid. 4.3.1 ; TF 4A_215/2017 du 15 janvier 2019 consid. 3.4 ; TF 4A_452/2016 du 2 novembre 2016 consid. 3). Le large pouvoir d'examen en fait et en droit ainsi défini s'applique même si la décision attaquée est de nature provisionnelle (JdT 2011 III 43 consid. 2 et les références citées).</w:t>
      </w:r>
    </w:p>
    <w:p>
      <w:r>
        <w:rPr>
          <w:b/>
        </w:rPr>
        <w:t>E. 2.2.1</w:t>
      </w:r>
    </w:p>
    <w:p>
      <w:r>
        <w:t>Dans le cadre de mesures provisionnelles – auxquelles s'appliquent par analogie les dispositions régissant la protection de l'union conjugale par renvoi de l'art. 276 al. 1 CPC –, le juge établit les faits d'office en vertu de la maxime inquisitoire (art. 272 CPC) et statue en application de la procédure sommaire (art. 271 let. a CPC). Il se prononce ainsi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131 III 473 consid. 2.3 ; TF 5A_157/2020 du 7 août 2020 consid. 4.2 et les références citées).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Selon la jurisprudence, l'art. 272 CPC prévoit une maxime inquisitoire dite sociale ou limitée, qui n'oblige pas le juge à rechercher lui-même l'état de fait pertinent (TF 5A_466/2019 du 25 septembre 2019 consid. 4.2).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 En revanche, l'art. 296 al. 1 CPC prévoit une maxime inquisitoire illimitée en ce qui concerne les questions relatives aux enfants. La maxime inquisitoire illimitée ne dispense toutefois pas non plus les parties de collaborer activement à la procédure, de renseigner le juge sur les faits de la cause et de lui indiquer les moyens de preuve disponibles (ATF 140 III 485 consid. 3.3 ; TF 5A_855/2017 du 11 avril 2018 consid. 4.3.2 et les références citées). Dans la mesure où l'établissement d'un fait est nécessaire pour déterminer la contribution d'entretien due aux enfants, la maxime inquisitoire de l'art. 296 al. 1 CPC lui est applicable même s'il sert ensuite aussi à fixer celle du conjoint (ATF 128 III 411 consid. 3.2.2 ; TF 5A_20/2020 du 28 août 2020 consid. 4.2 et les références citées).</w:t>
      </w:r>
    </w:p>
    <w:p>
      <w:r>
        <w:rPr>
          <w:b/>
        </w:rPr>
        <w:t>E. 2.2.2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 la condition de nouveauté posée par la lettre b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Les conditions de l'art. 317 al. 1 CPC sont applicables même lorsque la cause est soumise à la maxime inquisitoire sociale (ATF 144 III 349 consid. 4.2.1 et les réf. cit. ; ATF 143 III 42 consid. 4.2 ; ATF 142 III 413 consid. 2.2.2). Lorsque la procédure est soumise à la maxime inquisitoire illimitée, s’agissant notamment de contribution d’entretien concernant des enfants mineurs, l’art. 317 al.1 CPC n’est pas applicable, de sorte que les parties peuvent présenter des nova en appel même si les conditions de cette disposition ne sont pas réunies (ATF 144 III 349 consid. 4.2.1 et les références citées ; TF 5A_800/2019 du 9 février 2021 consid. 2.2, destiné à publication ; TF 5A_67/2020 du 10 août 2020 consid. 3.3.2).</w:t>
      </w:r>
    </w:p>
    <w:p>
      <w:r>
        <w:rPr>
          <w:b/>
        </w:rPr>
        <w:t>E. 2.2.3</w:t>
      </w:r>
    </w:p>
    <w:p>
      <w:r>
        <w:t>En l’espèce, les modalités de prises en charge des frais relatifs à l’enfant mineur des parties ne fait pas l’objet de la procédure de mesures provisionnelles initiée par l’appelant. Est seule débattue la contribution d’entretien qu’il revendique pour lui-même. Il s’ensuit que la recevabilité des pièces produites doit être examinée au regard des conditions posées par l’art. 317 al. 1 CPC, ce qui n’est d’ailleurs pas contesté. Cela étant, les deux pièces produites par U.________ avec son appel sont des pièces de forme et sont dès lors recevables. S’agissant des pièces produites par l’intimée, la pièce 1102 figure au dossier de première instance ; les pièces 1103 et 1104 ne sont que des copies des écritures de la partie appelante ; la pièce 1105 est un pseudo novum qui ne pouvait toutefois être produite avant que l’intimée n’ait connaissance du voyage entrepris par l’appelant sur le X.________ ; les pièces 1106 et 1107 sont des nova que l’intimée a produit immédiatement après en avoir eu connaissance. Toutes ces pièces sont ainsi recevables. Enfin, la question de la recevabilité de la pièce 1101 de l’intimée, à savoir le contrat de vente signé le 18 février 2021 – soit entre l’audience de première instance du 26 janvier 2021 et l’ordonnance litigieuse datée du 22 mars 2021 –, peut demeurer indécise, dans la mesure où l’appel doit de toute manière être rejeté (cf. consid. 6 infra ), même sans la prise en compte de cette pièce. Il a été tenu compte des éléments ressortant des pièces recevables dans la mesure de leur pertinence pour la résolution du litige.</w:t>
      </w:r>
    </w:p>
    <w:p>
      <w:r>
        <w:rPr>
          <w:b/>
        </w:rPr>
        <w:t>E. 2.3.1</w:t>
      </w:r>
    </w:p>
    <w:p>
      <w:r>
        <w:t>Selon l’art. 316 CPC, l’instance d’appel peut ordonner des débats ou statuer sur pièces (al. 1), ordonner un deuxième échange d’écritures (al. 2) et administrer les preuves (al. 3) Cette disposition ne confère pas aux parties un droit à la réouverture de la procédure probatoire et à l'administration des preuves (TF 4A_616/2016 du 10 mai 2017 consid. 4.1).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 ; TF 5A_86/2016 du 5 septembre 2016 consid. 3.1 ; TF 5A_851/2015 du 23 mars 2016 consid. 3.1 ; TF 4A_362/2015 du 1 er décembre 2015 consid. 2.2).</w:t>
      </w:r>
    </w:p>
    <w:p>
      <w:r>
        <w:rPr>
          <w:b/>
        </w:rPr>
        <w:t>E. 2.3.2</w:t>
      </w:r>
    </w:p>
    <w:p>
      <w:r>
        <w:t>En l’espèce, les pièces dont l’intimée a requis la production le 17 mai 2021 ne sont pas nécessaires à l’instruction de la cause, l’appel devant, comme on va le voir ci-après, de toute manière être rejeté sur la base du dossier existant. 3. Dans un premier grief, l’appelant invoque une violation du principe de la confidentialité de la procédure de conciliation, consacré à l’art. 205 CPC. Il fait en particulier valoir que le premier juge a fait état dans l’ordonnance litigieuse de discussions transactionnelles ayant eu lieu en audience. Il en conclut qu’il aurait établi les faits de manière arbitraire et que son raisonnement serait faussé.</w:t>
      </w:r>
    </w:p>
    <w:p>
      <w:r>
        <w:rPr>
          <w:b/>
        </w:rPr>
        <w:t>E. 3</w:t>
      </w:r>
    </w:p>
    <w:p>
      <w:r>
        <w:t>a) Le 23 août 2018, Y.________, a déposé une demande unilatérale en divorce à l’encontre de U.________. Lors de l’audience de conciliation tenue le 30 octobre 2018 par le président, les parties ont signé une convention partielle sur les effets accessoire du divorce, prévoyant en substance que l’autorité parentale sur l’enfant E.________ était attribuée conjointement aux parties (ch. I), que le droit de déterminer le lieu de résidence de cet enfant était attribué à Y.________ (ch. II), et que U.________ jouirait d’un libre et large droit de visite sur son fils ou, à défaut d’accord, un droit de visite usuel (ch. III). b) Par requête de mesures provisionnelles du 7 décembre 2020, U.________ a pris les conclusions suivantes : « I. A compter du 1 er janvier 2021, Y.________ contribuera à l’entretien de son époux U.________, par le régulier versement, d’avance le premier de chaque mois, d’une contribution d’entretien mensuelle de CHF 10'000.-, montant qui sera cas échéant précisé en cours d’instance une fois toutes les pièces requises produites. II. [...] versera à U.________, à titre d’avance, une provisio ad litem à hauteur de CHF 15'000.- dans un délai de 10 jours dès l’ordonnance de mesures provisionnelles à intervenir. III. U.________ se réserve le droit d’augmenter ses prétentions dès la transmission au Président du Tribunal des pièces requises en main d’Y.________ et de la Clinique G.________. IV. Sous suite de frais et dépens. » c) L’audience de mesures provisionnelles s’est tenue le 26 janvier 2021 en présence des parties, assistées de leur conseil respectif. La conciliation a été vainement tentée.</w:t>
      </w:r>
    </w:p>
    <w:p>
      <w:r>
        <w:rPr>
          <w:b/>
        </w:rPr>
        <w:t>E. 3.1</w:t>
      </w:r>
    </w:p>
    <w:p>
      <w:r>
        <w:t>L’art. 205 al. 1 CPC, qui se situe dans le « Titre 1 Conciliation », prévoit que les dépositions des parties ne doivent ni figurer au procès-verbal de conciliation ni être prises en compte par la suite, durant la procédure au fond.</w:t>
      </w:r>
    </w:p>
    <w:p>
      <w:r>
        <w:rPr>
          <w:b/>
        </w:rPr>
        <w:t>E. 3.2</w:t>
      </w:r>
    </w:p>
    <w:p>
      <w:r>
        <w:t>En préambule, il est relevé que l’art 205 al. 1 CPC dont se prévaut l’appelant concerne l’audience de conciliation en tant que préalable obligatoire avant l’introduction d’une procédure au fond au sens du CPC. Or, les discussions transactionnelles auxquelles l’intéressé fait référence ont eu lieu lors de l’audience de mesures provisionnelles du 26 janvier 2021, – et pas lors d’une audience de conciliation au sens des art. 197 ss CPC –, de sorte que l’application de l’art. 205 al. 1 CPC est en l’occurrence douteuse. Si on peut néanmoins admettre que la référence, même brève, au sort des pourparlers transactionnels n’avait pas sa place dans l’ordonnance entreprise, cette seule mention ne saurait évidemment suffire pour retenir que le premier juge aurait établi les faits de manière arbitraire ou tenu un raisonnement erroné. Le moyen doit par conséquent être rejeté.</w:t>
      </w:r>
    </w:p>
    <w:p>
      <w:r>
        <w:rPr>
          <w:b/>
        </w:rPr>
        <w:t>E. 4</w:t>
      </w:r>
    </w:p>
    <w:p>
      <w:r>
        <w:t>L’appelant invoque une violation du principe d’entretien réciproque des époux en mesures provisionnelles, et estime avoir droit au versement d’une contribution d’entretien de la part de l’intimée dans la mesure où sa situation financière se serait détériorée.</w:t>
      </w:r>
    </w:p>
    <w:p>
      <w:r>
        <w:rPr>
          <w:b/>
        </w:rPr>
        <w:t>E. 4.1.1</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(TF 5A_63/2018 du 14 août 2018 consid. 3.1 et les références citées). Aux termes de l’art. 179 al. 1, 1 re phrase, CC, le juge prononce – à la requête d’un époux – les modifications commandées par les faits nouveaux et rapporte les mesures prises lorsque les causes qui les ont déterminées n’existent plus. Selon la jurisprudence, la modification des mesures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références citées ; TF 5A_611/2019 du 29 avril 2020 consid. 4.1 ; TF 5A_501/2018 du 22 novembre 2018 consid. 2 ; TF 5A_848/2018 du 16 novembre 2018 consid. 5.1.2 ; TF 5A_297/2016 du 2 mai 2017 consid. 2.1, non publié aux ATF 143 III 233). Le fait revêt un caractère nouveau lorsqu’il n’a pas été pris en considération pour fixer la contribution d’entretien dans le jugement précédent. Ce qui est déterminant, ce n’est pas la prévisibilité des circonstances nouvelles, mais exclusivement le fait que la rente ait été fixée sans tenir compte de ces circonstances futures (ATF 131 III 189 consid. 2.7.4 [à propos de l’art. 129 al. 1 CC] ; TF 5A_64/2018 du 14 août 2018 consid. 3.1 ; TF 5A_617/2017 du 28 septembre 2017 consid. 3.1 ; TF 5A_677/2016 du 16 février 2017 consid. 2.1.1 ; cf. ég. ATF 141 III 376 consid. 3.3.1 ; TF 5A_842/2015 du 26 mai 2016 consid. 2.4.1, non publié aux ATF 142 III 518).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[à propos de l’art. 129 al. 1 CC] ; TF 5A_154/2019 du 1 er octobre 2019 consid. 4.1, FamPra.ch 2020, p. 177 ; TF 5A_64/2018 précité consid. 3.1 ; TF 5A_617/2017 précité consid. 3.1).</w:t>
      </w:r>
    </w:p>
    <w:p>
      <w:r>
        <w:rPr>
          <w:b/>
        </w:rPr>
        <w:t>E. 4.1.2</w:t>
      </w:r>
    </w:p>
    <w:p>
      <w:r>
        <w:t>[concernant l’art. 286 al. 2 CC] ; TF 5A_185/2019 du 26 septembre 2019 consid. 3.1 ; TF 5A_337/2019 du 12 août 2019 consid. 4.1 et les références citées). Pour que le juge puisse procéder à cette actualisation, il n’est pas nécessaire que la modification survenue dans ces autres éléments constitue également un fait nouveau (TF 5A_461/2019 précité consid. 5.1).</w:t>
      </w:r>
    </w:p>
    <w:p>
      <w:r>
        <w:rPr>
          <w:b/>
        </w:rPr>
        <w:t>E. 4.1.3</w:t>
      </w:r>
    </w:p>
    <w:p>
      <w:r>
        <w:t>Une modification du montant de la contribution d’entretien au stade des mesures provisionnelles est toutefois exclue lorsque les circonstances nouvelles ont été provoquées à la propre initiative d’une partie, d’une manière illicite ou constitutive d’abus de droit (art. 2 al. 2 CC). Ainsi, une modification des mesures protectrices ne doit pas résulter du comportement de l’un des époux contraire aux obligations découlant du mariage, tel l’abandon d’un emploi bien rémunéré (TF 5A_689/2020 du 27 avril 2021 consid. 5.3 ; TF 5A_571/2018 du 14 septembre 2018, consid. 5.3 ; Chaix, Commentaire romand du CC, 2 e éd., Bâle 2018, n. 4 ad art. 179 CC ; De Luze/Page/Stoudmann, Droit de la famille, Lausanne 2013, n. 1.1 ad art. 179 et réf. cit.). Lorsque le débiteur diminue son revenu dans l’intention de nuire, une modification de la contribution d’entretien est dès lors exclue, même s’il ne peut être revenu en arrière sur cette diminution de revenu. Il y a intention de nuire lorsque la diminution du revenu intervient en vue du procès, afin de réduire la contribution en faveur de l’autre conjoint (ATF 143 III 233 consid. 3.4, JdT 2017 II 455 ; TF 5A_403/2019 du 12 mars 2020 consid. 4.2, FamPra.ch 2020 p. 813 ; cf. Guillod, L’oisiveté organisée ne paye plus, Newsletter DroitMatrimonial.ch. été 2017). On admettra une telle volonté de nuire lorsque le débiteur donne son congé sans que l’employeur ne lui ait donné un motif de le faire (TF 5A_297/2016 du 2 mai 2017 consid. 4.4.2, non publié à l’ATF 143 III 233). Cette intention de nuire constitue un fait interne, qui ne se prouve que par des circonstances extérieures et qui ne peut faire l’objet que d’une preuve par indices. Dans la preuve par indices, il est présumé qu’un fait non prouvé est établi parce que cette conclusion s’impose des faits prouvés (indices) selon l’expérience de la vie (TF 5A_403/2019 du 12 mars 2020 consid. 4.3, FamPra.ch 2020 p. 813). Une telle intention ne doit être admise qu’avec retenue (TF 5A_403/2019 du 12 mars 2020 consid. 4.2, FamPra.ch 2020 p. 813). Il ne suffit à cet égard pas que le comportement de l’intéressé apparaisse objectivement peu censé. Il faut bien plutôt des indices clairs qui permettent sans doute possible de conclure que la partie a cherché à se soustraire à son obligation d’entretien. Tel est le cas lorsque les motifs donnés par la partie sont sans relation avec les faits constatés ou lorsque son comportement avant et après la résiliation permet manifestement de conclure à un abus (TF 5A_561/2020 du 3 mars 2021 consid. 5.2.1 ; TF 5A_403/2019 du 12 mars 2020 consid. 4.3.2, FamPra.ch 2020 p. 813).</w:t>
      </w:r>
    </w:p>
    <w:p>
      <w:r>
        <w:rPr>
          <w:b/>
        </w:rPr>
        <w:t>E. 4.2.1</w:t>
      </w:r>
    </w:p>
    <w:p>
      <w:r>
        <w:t>Le premier juge, considérant que la prise de retraite anticipée de l’appelant avait incontestablement entraîné une détérioration de ses revenus et constituait ainsi un fait nouveau et durable, a toutefois retenu que l’intéressé avait sciemment diminué ses revenus, n’étant nullement empêché d’exercer une activité lucrative. Il lui a dès lors imputé un revenu hypothétique correspondant au revenu auquel il avait renoncé, lequel lui permettait de couvrir les charges qu’il alléguait. L’appelant conteste ce raisonnement. Il se plaint d’une constatation inexacte de son état de santé. Il fait valoir qu’il aurait prouvé ne pas pouvoir continuer d’exercer à plein temps sa profession d’agent d’assurance par la production de certificats médicaux (pièces 5 et 28) et d’une attestation (pièce 27). Ainsi, ses facultés d’analyses, de vivacité d’esprit et de prise de position étaient altérées par la dépression et aucune autre possibilité qu’une retraite anticipée ne s’offrait à lui. Un temps partiel n’aurait pas non plus été envisageable, les troubles étant quotidien et indépendants de l’activité exercée. Quand bien même il n’aurait pas mis un terme à sa carrière, son employeur se serait alors retrouvé contraint de le licencier. Il conteste ainsi avoir entrepris des démarches afin d’obtenir une retraite anticipée par pure convenance personnelle. Le premier juge ne pouvait dès lors pas lui imputer un revenu hypothétique. L’intimée, de son côté, fait notamment valoir que l’appelant s’est volontairement mis dans la même situation que celle du débiteur qui diminue son revenu dans l’intention de nuire.</w:t>
      </w:r>
    </w:p>
    <w:p>
      <w:r>
        <w:rPr>
          <w:b/>
        </w:rPr>
        <w:t>E. 4.2.2</w:t>
      </w:r>
    </w:p>
    <w:p>
      <w:r>
        <w:t>En l’espèce, dès lors que les parties ont convenu de renoncer à toute contribution d’entretien l’une à l’égard de l’autre par le chiffre VIII de la convention du 3 juillet 2015, ratifiée le 18 septembre 2015 pour valoir ordonnance de mesures protectrices de l’union conjugale, la modification de cette mesure n’est effectivement possible qu’aux conditions de l’art. 179 al. 1 CC. Si la prise par l’appelant d’une retraite anticipée et la diminution de revenu qui en découle constitue effectivement un fait nouveau et durable au sens de cette disposition, il convient toutefois de déterminer si ces circonstances nouvelles n’ont pas été provoquées par un comportement relevant de l’abus de droit, ce qui exclurait toute modification de la convention du 3 juillet 2015 susmentionnée conformément à la jurisprudence rappelée ci-dessus (cf. consid. 4.1.3 supra ). A cet égard, il n’est pas contesté que l’appelant a volontairement renoncé à l’emploi qu’il occupait auprès d’A.________ SA et dont il retirait des revenus suffisants pour subvenir à son entretien. Il soutient que cette décision s’imposait en raison de son état de santé. Sur ce point, les certificats produits par l’appelant évoquent certes l’existence de troubles, soit des problèmes de concentration sur le plan professionnel (cf. attestation médicale du Dr Z.________ du 18 janvier 2021), ou encore une symptomatologie anxio-dépressive avec, comme symptômes les plus marqués, une labilité émotionnelle, un trouble du sommeil et des difficultés de concentration (cf. rapport de S.________ du 18 janvier 2021). On doit cependant relever que l’intéressé n’a produit aucun rapport émanant d’un psychiatre et qu’au surplus, seul le Dr Z.________ est médecin, S.________ étant en effet psychologue. Par ailleurs et surtout, on constate que ni le Dr Z.________ ni S.________ n’affirment que les troubles évoqués étaient de nature à empêcher définitivement ni même durablement l’appelant de poursuivre son activité professionnelle. Si S.________ laisse entendre que certains symptômes empêchaient « le bon développement » du travail de l’appelant, elle ne soutient en revanche pas qu’ils le rendaient inapte à son poste. Il ne ressort d’ailleurs pas des rapports produits que ce dernier aurait été en incapacité de travailler au-delà du 10 août 2020. En effet, le Dr Z.________ a uniquement attesté une capacité de travail nulle du 17 mars au 17 mai 2020, puis une capacité de travail d’un taux de 50 % du 18 mai au 10 août 2020, la capacité étant à nouveau totale dès cette date. En outre, aucun élément du dossier ne révèle que l’employeur de l’intéressé aurait été sur le point de licencier l’appelant en raison de performances insuffisantes. En d’autres termes, rien ne permet de considérer que des motifs de santé empêchaient l’appelant de poursuivre son activité professionnelle. On mentionnera par surabondance que même si l’existence de tels motifs avait été avérée, l’appelant n’aurait de toute manière pas pu simplement renoncer à son emploi en comptant sur le soutien de son épouse mais aurait au contraire dû le conserver, afin de pouvoir percevoir des indemnités perte de grain, avant de déposer une demande de prestations auprès de l’assurance-invalidité. A cela s’ajoute encore que, comme le relève l’intimée, les démarches en vue d’une retraite anticipée ont été entreprises en juin 2020, soit à un moment où l’appelant avait partiellement retrouvé sa capacité de travail (il présentait une capacité de travail de 50 % depuis le 18 mai 2020 selon certificat médical du Dr Z.________), et peu avant d’être à nouveau totalement apte au travail (à 100 % dès le 11 août 2020 selon certificat médical du Dr Z.________). On constate en outre que l’intéressé a également contracté une assurance voyage en juillet 2020, soit à une période où son état de santé s’améliorait. Ces deux éléments laissent clairement penser que l’appelant avait décidé de prendre une retraite anticipée indépendamment de l’évolution de son état de santé. Il résulte de ce qui précède que l’appelant a sans aucun doute quitté son emploi par pure convenant personnelle. Il ne saurait dès lors se prévaloir de cette circonstance nouvelle, volontairement créée par un comportement contraire aux obligations découlant du mariage, pour obtenir qu’une contribution d’entretien soit mise à la charge de son épouse. Partant, conformément à la jurisprudence précitée (cf. consid. 4.1.3 supra ), une modification du régime relatif à la contribution d’entretien entre époux convenu par la convention du 3 juillet 2015 est exclue. Le grief de l’appelant doit ainsi être rejeté et l’ordonnance litigieuse confirmée sur ce point, par substitution de motifs.</w:t>
      </w:r>
    </w:p>
    <w:p>
      <w:r>
        <w:rPr>
          <w:b/>
        </w:rPr>
        <w:t>E. 5</w:t>
      </w:r>
    </w:p>
    <w:p>
      <w:r>
        <w:t>Enfin, comme en première instance, l’appelant demande le paiement par l’intimée d’une provisio ad litem de 15'000 francs.</w:t>
      </w:r>
    </w:p>
    <w:p>
      <w:r>
        <w:rPr>
          <w:b/>
        </w:rPr>
        <w:t>E. 5.1</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5A_808/2016 du 21 mars 2017 consid. 4.1 ; TF 5A_784/2008 du 20 novembre 2009 consid. 2). Une provisio ad litem peut être accordée déjà au stade des mesures protectrices de l’union conjugale ou des mesures provisionnelles (TF 5A_590/2019 du 13 février 2020 consid. 3.3 ; en ce sens déjà : CREC 15 juin 2012/220 ; cf. TF 5A_793/2008 du 8 mai 2009 consid. 6.2). Le fondement de cette prestation – devoir d'assistance (art. 159 al. 3 CC) ou obligation d'entretien (art. 163 CC) – est controversé (TF 5A_62/2011 du 26 juillet 2011 consid. 2.2 ; TF 5P.346/2005 du 15 novembre 2005 consid. 4.3, publié in FamPra.ch 2006 p. 892 n. 130 et les références citées), mais cet aspect n'a pas d'incidence sur les conditions qui président à son octroi (ATF 138 III 672 consid. 4.2.1). Le fait que le débirentier bénéficie d’une fortune considérable n’importe pas. Il s’agit en effet uniquement d’examiner la situation économique du conjoint créancier qui fait valoir qu’il ne dispose pas de moyens financiers suffisants pour assumer les frais du procès en divorce (Juge déléguée CACI 11 février 2021/64 consid. 4.2.3 et réf. cit. ; TF 5A_266/2015 du 24 juin 2015 consid. 8.2).</w:t>
      </w:r>
    </w:p>
    <w:p>
      <w:r>
        <w:rPr>
          <w:b/>
        </w:rPr>
        <w:t>E. 5.2</w:t>
      </w:r>
    </w:p>
    <w:p>
      <w:r>
        <w:t>L’appelant soutient avoir produit tous les documents utiles pour prouver qu’il était incapable de faire face, par ses propres moyens, aux frais du procès en cours. Il allègue que sa fortune est quasi inexistante actuellement. En l’occurrence, il ressort d’un relevé de son compte bancaire produit en première instance (pièce 25) que l’appelant disposait à tout le moins d’une fortune liquide de 33'759 fr. 75 au 31 octobre 2020. S’il allègue que sa fortune est aujourd’hui quasi inexistante, force est de constater qu’il ne produit aucun document ultérieur au 31 octobre 2020 pour le prouver, ce qu’il lui appartenait pourtant de faire (cf. art. 8 CC). Partant, il est retenu, au stade de la vraisemblance, que l’intéressé dispose d’une fortune liquide qui n’est pas inférieur à 33'759 fr. 75. Au vu de la jurisprudence (cf. notamment CACI 6 avril 2020/136 ; CACI 15 avril 2019/206, TF 5D_66/2020 du 14 août 2020 consid. 3.2.1), cette fortune est en l’état suffisante pour faire face à ses frais de procès, de sorte qu’une provisio ad litem ne saurait lui être octroyé. Son grief est donc vain et l’ordonnance litigieuse doit également être confirmée sur ce point.</w:t>
      </w:r>
    </w:p>
    <w:p>
      <w:r>
        <w:rPr>
          <w:b/>
        </w:rPr>
        <w:t>E. 6</w:t>
      </w:r>
    </w:p>
    <w:p>
      <w:r>
        <w:t>En définitive, l’appel doit être rejeté et l’ordonnance entreprise confirmée. Les frais judiciaires de deuxième instance, arrêtés à 1’200 fr. (art. 63, 65 al. 2 et 4 TFJC [tarif des frais judiciaires civils du 28 septembre 2010 ; BLV 270.11.5]), sont mis à la charge de l’appelant, qui succombe (art. 106 al. 1 CPC). Vu le sort de l’appel, l’intimée a droit à de pleins dépens, qui peuvent être arrêtés à 3'000 fr. (art. 3 al. 2 et 7 TDC [tarif des dépens en matière civile du 23 novembre 2010 ; BLV 270.11.6]). Par ces motifs, le juge délégué de la Cour d’appel civile prononce : I. L’appel est rejeté. II. L’ordonnance est confirmée. III. Les frais judiciaires de deuxième instance, arrêtés à 1'200 fr. (mille deux cents francs), sont mis à la charge de l’appelant U.________. IV. L’appelant U.________ versera à l’intimée Y.________ la somme de 3'000 fr. (trois mille francs) à titre de dépens de deuxième instance. V. L’arrêt est exécutoire. Le juge délégué : Le greffier : Du Le présent arrêt, dont la rédaction a été approuvée à huis clos, est notifié en expédition complète à : ‑ Me Pierre-Xavier Luciani (pour U.________), ‑ Me Christine Sattiva Spring (pour Y.________),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