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553 vom 7. Juli 2021</w:t>
      </w:r>
    </w:p>
    <w:p>
      <w:r>
        <w:t>VD Tribunal cantonal, 2021-07-07, FR</w:t>
      </w:r>
    </w:p>
    <w:p>
      <w:r>
        <w:rPr>
          <w:b/>
        </w:rPr>
        <w:t xml:space="preserve">Quelle: </w:t>
      </w:r>
      <w:r>
        <w:t>https://mcp.opencaselaw.ch/entscheid/vd_findinfo_HC___2021___553</w:t>
      </w:r>
    </w:p>
    <w:p>
      <w:r>
        <w:t>FR: VD_FINDINFO HC / 2021 / 553 du 7 juillet 2021</w:t>
      </w:r>
    </w:p>
    <w:p>
      <w:r>
        <w:t>IT: VD_FINDINFO HC / 2021 / 553 del 7 luglio 2021</w:t>
      </w:r>
    </w:p>
    <w:p>
      <w:pPr>
        <w:pStyle w:val="Heading2"/>
      </w:pPr>
      <w:r>
        <w:t>Regeste</w:t>
      </w:r>
    </w:p>
    <w:p>
      <w:r>
        <w:t>EFFET SUSPENSIF, REJET DE LA DEMANDE, DOMMAGE IRRÉPARABLE, DROIT À DES CONDITIONS MINIMALES D'EXISTENCE | 315 al. 4 let. b CPC (CH), 315 al. 5 CPC (CH)</w:t>
      </w:r>
    </w:p>
    <w:p>
      <w:pPr>
        <w:pStyle w:val="Heading2"/>
      </w:pPr>
      <w:r>
        <w:t>Erwägungen</w:t>
      </w:r>
    </w:p>
    <w:p>
      <w:r>
        <w:rPr>
          <w:b/>
        </w:rPr>
        <w:t>E. 4</w:t>
      </w:r>
    </w:p>
    <w:p>
      <w:r>
        <w:t>Par acte du 1 er juillet 2021, B.F.________ (ci-après : l’appelant) a interjeté appel de l’ordonnance précitée, en concluant, avec suite de frais et dépens, principalement à sa réforme, en ce sens qu’il soit astreint à contribuer à l’entretien d’E.F.________ et D.F.________ par le versement, en mains de A.________ (ci‑après : l’intimée), de pensions mensuelles de 514 fr. 26 par enfant. Subsidiairement, il a conclu à l’annulation de l’ordonnance entreprise et au renvoi de la cause au premier juge pour nouvelle décision dans le sens des considérants de l’arrêt à intervenir. Au pied de ce même acte, il a conclu à l’octroi de l’effet suspensif à son appel.</w:t>
      </w:r>
    </w:p>
    <w:p>
      <w:r>
        <w:rPr>
          <w:b/>
        </w:rPr>
        <w:t>E. 5.1</w:t>
      </w:r>
    </w:p>
    <w:p>
      <w:r>
        <w:t>L’appelant fait valoir que l’exécution immédiate de l’ordonnance attaquée l’exposerait à un risque de préjudice difficilement réparable, dès lors qu’il ne serait pas en mesure d’assumer l’augmentation de sa charge d’entretien et qu’il se retrouverait débiteur d’un arriéré de pensions important, situation à laquelle il ne serait pas en mesure de faire face.</w:t>
      </w:r>
    </w:p>
    <w:p>
      <w:r>
        <w:rPr>
          <w:b/>
        </w:rPr>
        <w:t>E. 5.2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 ATF 137 III 475 consid. 4.1).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 ; TF 5A_403/2015 du 28 août 2015 consid. 5 ; TF 5A_419/2014 du 9 octobre 2014 consid. 7.1.2). De jurisprudence constante, le fait d’être exposé au paiement d'une somme d’argent n'entraîne, en principe, aucun préjudice de nature juridique (ATF 138 III 333 consid.1.3.1 et les références citées), dans la mesure où l’intéressé peut s’acquitter du montant et en obtenir par la suite la restitution s’il obtient finalement gain de cause (TF 5D_52/2010 du 10 mai 2010 consid. 1.1.1 et les références citées, in SJ 2011 I p. 134). D’ailleurs, concernant la contribution d’entretien, le refus de l’effet suspensif ne cause en principe pas de préjudice difficilement réparable à celui qui est condamné à la payer (TF 5A_468/2012, in Revue suisse de procédure civile [RSPC] 2012 476). Des exceptions peuvent exister lorsque le débiteur n’est pas en mesure de payer les contributions ou lorsqu’il ne pourrait récupérer les prestations payées en cas de gain de l’appel, ce qu’il lui incombe de démontrer (TF 5A_108/2014 du 12 mai 2014 consid. 1.4 ; TF 5A_955/2013 du 1 er avril 2014 consid. 1.4). L’obligation d’entretien trouve toujours sa limite inférieure dans la capacité contributive du débirentier, en ce sens que le minimum vital de celui-ci selon le droit des poursuites doit être préservé (ATF 126 III 353 [spéc. 355 ss], JdT 2002 I 162 ; TF 5A_470/2016 du 13 décembre 2016 consid. 6.1.1) ; un déficit est ainsi assumé par les seuls créanciers, même s’il s’agit d’enfants mineurs. Cette règle est absolue : toute atteinte au minimum vital, même de l’ordre de quelques dizaines de francs, est illicite (TF 5A_58/2018 du 17 janvier 2018 consid. 4 ; cf. également de Luze/Page/Stoudmann , Droit de la famille, Code annoté, Lausanne 2013, n. 157 ad art. 176 et les références citées).</w:t>
      </w:r>
    </w:p>
    <w:p>
      <w:r>
        <w:rPr>
          <w:b/>
        </w:rPr>
        <w:t>E. 5.3</w:t>
      </w:r>
    </w:p>
    <w:p>
      <w:r>
        <w:t>En l’espèce, l’appelant ne démontre pas en quoi le versement des contributions d’entretien fixées dans l’ordonnance attaquée jusqu’à droit connu sur l’appel l’exposerait, concrètement, un risque de préjudice difficilement réparable. Il ne démontre en effet pas, ne serait-ce qu’au degré de la vraisemblance, que cette situation le mettrait dans des difficultés financières insurmontables, le service des pensions litigieuses pouvant être assuré sans atteinte à son minimum vital tel qu’arrêté dans l’ordonnance entreprise, lequel n’apparait pas, prima facie , manifestement erroné. S’agissant de l’arriéré de pensions que l’intimée pourrait être amenée à réclamer à l’appelant, celui-ci ne prétend pas que son épouse aurait exigé un tel remboursement et aucun élément ne permet à ce stade de retenir qu’il aurait des difficultés à obtenir le remboursement d’un éventuel trop‑perçu par l’intimée en cas d’admission de son appel, ce que l’appelant n’allègue au reste pas. Or, comme rappelé ci-dessus, l’effet suspensif ne peut être accordé en matière de contributions d’entretien que si le débiteur démontre qu’il n’est pas en mesure de payer les pensions ou qu’il serait dans l’impossibilité de récupérer les pensions versées à tort en cas d’admission de l’appel.</w:t>
      </w:r>
    </w:p>
    <w:p>
      <w:r>
        <w:rPr>
          <w:b/>
        </w:rPr>
        <w:t>E. 6</w:t>
      </w:r>
    </w:p>
    <w:p>
      <w:r>
        <w:t>Au vu de ce qui précède,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La greffière : Du La présente ordonnance, dont la rédaction a été approuvée à huis clos, est notifiée à : ‑ Me Hervé Crausaz (pour B.F.________), ‑ Me Emmanuel Hoffmann (pour A.________),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