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531 vom 22. Juni 2021</w:t>
      </w:r>
    </w:p>
    <w:p>
      <w:r>
        <w:t>VD Tribunal cantonal, 2021-06-22, FR</w:t>
      </w:r>
    </w:p>
    <w:p>
      <w:r>
        <w:rPr>
          <w:b/>
        </w:rPr>
        <w:t xml:space="preserve">Quelle: </w:t>
      </w:r>
      <w:r>
        <w:t>https://mcp.opencaselaw.ch/entscheid/vd_findinfo_HC___2021___531</w:t>
      </w:r>
    </w:p>
    <w:p>
      <w:r>
        <w:t>FR: VD_FINDINFO HC / 2021 / 531 du 22 juin 2021</w:t>
      </w:r>
    </w:p>
    <w:p>
      <w:r>
        <w:t>IT: VD_FINDINFO HC / 2021 / 531 del 22 giugno 2021</w:t>
      </w:r>
    </w:p>
    <w:p>
      <w:pPr>
        <w:pStyle w:val="Heading2"/>
      </w:pPr>
      <w:r>
        <w:t>Regeste</w:t>
      </w:r>
    </w:p>
    <w:p>
      <w:r>
        <w:t>ADMINISTRATION DES PREUVES, DOMMAGE IRRÉPARABLE, SECRET D'AFFAIRES, CONCURRENCE, TIERS, ADMISSION DE LA DEMANDE, DÉCISION DE RENVOI | 29 al. 2 Cst., 156 CPC (CH), 319 let. b ch. 2 CPC (CH)</w:t>
      </w:r>
    </w:p>
    <w:p>
      <w:pPr>
        <w:pStyle w:val="Heading2"/>
      </w:pPr>
      <w:r>
        <w:t>Erwägungen</w:t>
      </w:r>
    </w:p>
    <w:p>
      <w:r>
        <w:rPr>
          <w:b/>
        </w:rPr>
        <w:t>E. 1.1</w:t>
      </w:r>
    </w:p>
    <w:p>
      <w:r>
        <w:t>Selon l'art. 319 let. b ch. 2 CPC, le recours est recevable contre les ordonnances d'instruction qui ne peuvent pas faire l'objet d'un recours prévu par la loi au sens de l'art. 319 let. b ch. 1 CPC, lorsqu'elles peuvent causer un préjudice difficilement réparable.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w:t>
      </w:r>
    </w:p>
    <w:p>
      <w:r>
        <w:rPr>
          <w:b/>
        </w:rPr>
        <w:t>E. 1.2</w:t>
      </w:r>
    </w:p>
    <w:p>
      <w:r>
        <w:t>En l'espèce, le recours a été interjeté en temps utile auprès de l'autorité compétente par une partie qui a un intérêt digne de protection (art. 59 al. 2 let. a CPC), de sorte qu'il est recevable à cet égard.</w:t>
      </w:r>
    </w:p>
    <w:p>
      <w:r>
        <w:rPr>
          <w:b/>
        </w:rPr>
        <w:t>E. 1.3</w:t>
      </w:r>
    </w:p>
    <w:p>
      <w:r>
        <w:t>La recourante soutient que l'ordonnance attaquée lui causerait un préjudice difficilement réparable.</w:t>
      </w:r>
    </w:p>
    <w:p>
      <w:r>
        <w:rPr>
          <w:b/>
        </w:rPr>
        <w:t>E. 1.4.1</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 Jeandin, Commentaire romand Code de procédure civile [ci-après : CR-CPC],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7 octobre 2020/250 consid. 6.1 ; CREC 11 février 2016/50 ; Jeandin, CR-CPC, n. 22 ad art. 319 CPC et les références citées). En outre, un préjudice irréparable de nature juridique ne doit pas pouvoir être ultérieurement réparé ou entièrement réparé par une décision finale favorable au recourant (ATF 137 IV 172 consid. 2.1 ; ATF 134 III 188 consid. 2.1 et 2.2 ; TF 5A_59/2019 du 6 mars 2019 consid. 3).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CR-CPC, n. 22a ad art. 319 CPC et la réf. citée).</w:t>
      </w:r>
    </w:p>
    <w:p>
      <w:r>
        <w:rPr>
          <w:b/>
        </w:rPr>
        <w:t>E. 1.4.2</w:t>
      </w:r>
    </w:p>
    <w:p>
      <w:r>
        <w:t>Selon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ou les expertises, le simple caviardage (éventuellement différencié en ce sens que le tribunal pourrait avoir connaissance de la pièce originale et la partie adverse de la même pièce expurgée) devrait permettre de trouver une solution équilibrée. On peut aussi songer à un examen limité par un expert ou par un juge spécialisé du moyen de preuve relevant du secret d'affaires (TF 4A_64/2011 du 1 er septembre 2011 consid. 3.3 ; CREC 10 août 2016/316 consid. 5.2). Il ne suffit en revanche pas que la partie requise de produire une pièce affirme que celle-ci contient un secret d'affaires pour que le risque d'un dommage irréparable en cas de production de ladite pièce doive être automatiquement admis (TF 4A_712/2011 du 13 février 2012 consid. 2.2.2). En règle générale, on admet que le secret d'affaires couvre les données techniques, organisationnelles, commerciales et financières qui sont spécifiques à l'entreprise, qui peuvent avoir une incidence sur le résultat commercial et en conséquence sur la capacité concurrentielle (cf. ATF 142 Il 268 consid. 5.2.3, ATF 109 lb 47 consid. 5c ; ATF103 IV 283 consid. 2b). Il y a dans la règle un intérêt objectif à maintenir secret les parts de marché des entreprises, les chiffres d'affaires, les prix, les rabais et primes, les sources d'approvisionnement, l'organisation interne de l'entreprise – mais pas celle d'un cartel illicite –, les stratégies et la planification d'affaires, les listes des clients et des relations d'affaires (ATF 142 II 268 consid. 5.2.4 et les références citées). Il en va de même, par exemple, du know-how, de l'identification de la clientèle ou de la structure de la comptabilité (Schweizer, CR-CPC, n. 6 ad art. 156 CPC). Les secrets ne sont protégés que s'il existe un intérêt prépondérant à leur maintien, ce qui n'est admis qu'avec réserve (TF 4A_195/2010 du 8 juin 2010 consid. 2.2, in : Revue suisse de procédure civile [RSPC] 2010 p. 392, relatif à l'ancien droit neuchâtelois de procédure). L'intérêt au maintien du secret est un critère objectif ; il importe donc que l'information, considérée objectivement, apparaisse digne de protection. Le secret d'affaires doit avoir pour objet des informations commerciales pertinentes, relatives notamment aux fournisseurs, à l'organisation de l'entreprise ou au calcul des prix, et par conséquent revêtir un caractère économique ou commercial. Il est essentiel que les informations puissent exercer une influence sur le résultat de l'entreprise ou, autrement dit, sur sa capacité concurrentielle (ATF 142 II 268 consid. 5.2.2 et 5.2.4, JdT 2017 139).</w:t>
      </w:r>
    </w:p>
    <w:p>
      <w:r>
        <w:rPr>
          <w:b/>
        </w:rPr>
        <w:t>E. 1.5</w:t>
      </w:r>
    </w:p>
    <w:p>
      <w:r>
        <w:t>Les pièces dont la production est requise concernent la clientèle de la recourante et sa comptabilité, notamment ses chiffres d’affaires dans les domaines du bâtiment et de la construction. La recourante soutient que si sa concurrente O.________ devait accéder aux informations requises par le juge délégué, celle-ci pourrait prendre contact avec sa clientèle et lui proposer des prix avantageux, ce qui aurait comme conséquence de lui faire perdre des clients et porterait ainsi atteinte à ses intérêts. En l’espèce, la recourante a un intérêt à maintenir secret ces informations, de sorte que le risque qu’elle évoque est concret et motivé. La condition du préjudice difficilement réparable est réalisée sous l’angle d’une atteinte possible au secret d’affaires, ce qui rend le recours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civile est en revanche limité à l’arbitraire (TF 4D_30/2017 du 5 décembre 2017 consid. 2.2 et réf. cit.).</w:t>
      </w:r>
    </w:p>
    <w:p>
      <w:r>
        <w:rPr>
          <w:b/>
        </w:rPr>
        <w:t>E. 2.2</w:t>
      </w:r>
    </w:p>
    <w:p>
      <w:r>
        <w:t>Aux termes de l'art. 326 CPC, les conclusions, les allégations de faits et les preuves nouvelles sont irrecevables (al. 1). Les dispositions spéciales de la loi sont réservées (al. 2). En l’espèce, les pièces produites par la recourante sont une pièce de forme et deux pièces présentes dans le dossier de première instance, de sorte qu’elles sont recevables.</w:t>
      </w:r>
    </w:p>
    <w:p>
      <w:r>
        <w:rPr>
          <w:b/>
        </w:rPr>
        <w:t>E. 3.1</w:t>
      </w:r>
    </w:p>
    <w:p>
      <w:r>
        <w:t>La recourante invoque que son droit d’être entendue aurait été violé, le juge délégué n’ayant pas motivé sa décision, ni mentionné de voies de droit. Elle soulève qu’alors qu’elle s’était opposée à la production des pièces requises par courrier du 15 mars 2021, le juge délégué n’avait fait aucune mention dudit courrier, de sorte qu’il était ignoré s’il en avait tenu compte en rendant la décision entreprise.</w:t>
      </w:r>
    </w:p>
    <w:p>
      <w:r>
        <w:rPr>
          <w:b/>
        </w:rPr>
        <w:t>E. 3.2</w:t>
      </w:r>
    </w:p>
    <w:p>
      <w:r>
        <w:t>La jurisprudence a déduit du droit d'être entendu garanti par l'art. 29 al. 2 Cst. (Constitution fédérale de la Confédération suisse du 18 avril 1999 ; RS 101), ainsi que de l'art. 53 CPC,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les réf.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TF 5A_741/2016 du 6 décembre 2016 consid. 3.3.1 ; Colombini, Code de procédure civile, Condensé de la jurisprudence fédérale et vaudoise, Lausanne 2018, n. 3.2.2 ad art. 239 CPC).</w:t>
      </w:r>
    </w:p>
    <w:p>
      <w:r>
        <w:rPr>
          <w:b/>
        </w:rPr>
        <w:t>E. 3.3</w:t>
      </w:r>
    </w:p>
    <w:p>
      <w:r>
        <w:t>En l’espèce, le juge délégué ne s’est pas déterminé au sujet de l’opposition formulée par la recourante dans son courrier du 15 mars 2021, se contentant de rendre la même décision que celle du 25 février 2021, assortie de sanctions. Le juge délégué n’a en particulier pas répondu aux griefs de la société requise et n’a pas procédé à une pesée des intérêts en présence conformément à l’art. 156 CPC. Il lui reviendra par conséquent de le faire dans le cadre du présent renvoi, en examinant, le cas échéant, la manière la plus adaptée de préserver les intérêts d’A.________.</w:t>
      </w:r>
    </w:p>
    <w:p>
      <w:r>
        <w:rPr>
          <w:b/>
        </w:rPr>
        <w:t>E. 4.1</w:t>
      </w:r>
    </w:p>
    <w:p>
      <w:r>
        <w:t>En définitive, le recours doit être admis, l’ordonnance annulée et la cause renvoyée à l’autorité précédente pour qu’elle motive son ordonnance dans le sens des considérants qui précèdent. Ce renvoi étant dicté par une violation du droit d’être entendu, il ne se justifie pas d’inviter E.________ et O.________ à présenter des déterminations, la cause n’étant pas préjugée (TF 5A_910/2016 du 1 er septembre 2017 consid. 4 ; TF 5A_736/2008 du 30 mars 2009 consid. 6 ; TF 5A_163/2008 du 27 mai 2008 consid. 5 ; CREC 28 mai 2021/159).</w:t>
      </w:r>
    </w:p>
    <w:p>
      <w:r>
        <w:rPr>
          <w:b/>
        </w:rPr>
        <w:t>E. 4.2</w:t>
      </w:r>
    </w:p>
    <w:p>
      <w:r>
        <w:t>Le présent arrêt sera rendu sans frais judiciaires de deuxième instance (art. 11 TFJC [Tarif des frais judiciaires civils du 28 septembre 2010 ; BLV 270.11.5]). Il n’y a pas lieu à l’allocation de dépens de deuxième instance, les intimés n’ayant pas été invités à se déterminer. Par ces motifs, la Chambre des recours civile du Tribunal cantonal, prononce : I. Le recours est admis. II. L’ordonnance est annulée. III. La cause est renvoyée au Juge délégué de la Chambre patrimoniale cantonale pour qu’il procède dans l e sens des considérants. IV. L’arrêt, rendu sans frais judiciaires de deuxième instance, est exécutoire. Le président :               La greffière : Du L'arrêt qui précède, dont la rédaction a été approuvée à huis clos, est notifié à : ‑ A.________, ‑ Me Nicolas Saviaux (pour E.________), ‑ Me Véronique Perroud (pour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