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51 vom 2. Februar 2021</w:t>
      </w:r>
    </w:p>
    <w:p>
      <w:r>
        <w:t>VD Tribunal cantonal, 2021-02-02, FR</w:t>
      </w:r>
    </w:p>
    <w:p>
      <w:r>
        <w:rPr>
          <w:b/>
        </w:rPr>
        <w:t xml:space="preserve">Quelle: </w:t>
      </w:r>
      <w:r>
        <w:t>https://mcp.opencaselaw.ch/entscheid/vd_findinfo_HC___2021___51</w:t>
      </w:r>
    </w:p>
    <w:p>
      <w:r>
        <w:t>FR: VD_FINDINFO HC / 2021 / 51 du 2 février 2021</w:t>
      </w:r>
    </w:p>
    <w:p>
      <w:r>
        <w:t>IT: VD_FINDINFO HC / 2021 / 51 del 2 febbraio 2021</w:t>
      </w:r>
    </w:p>
    <w:p>
      <w:pPr>
        <w:pStyle w:val="Heading2"/>
      </w:pPr>
      <w:r>
        <w:t>Regeste</w:t>
      </w:r>
    </w:p>
    <w:p>
      <w:r>
        <w:t>FRAIS JUDICIAIRES, DÉPENS, TRIBUNAL FÉDÉRAL | 68 al. 5 LTF, 106 al. 1 CPC (CH), 95 al. 1 CPC (CH)</w:t>
      </w:r>
    </w:p>
    <w:p>
      <w:pPr>
        <w:pStyle w:val="Heading2"/>
      </w:pPr>
      <w:r>
        <w:t>Erwägungen</w:t>
      </w:r>
    </w:p>
    <w:p>
      <w:r>
        <w:rPr>
          <w:b/>
        </w:rPr>
        <w:t>E. 1</w:t>
      </w:r>
    </w:p>
    <w:p>
      <w:r>
        <w:t>Selon le principe de l'autorité de l'arrêt de renvoi,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 citées).</w:t>
      </w:r>
    </w:p>
    <w:p>
      <w:r>
        <w:rPr>
          <w:b/>
        </w:rPr>
        <w:t>E. 2</w:t>
      </w:r>
    </w:p>
    <w:p>
      <w:r>
        <w:t>Conformément à l’arrêt du Tribunal fédéral du 3 décembre 2020, il incombe à l'autorité de céans de fixer les frais et dépens de la procédure cantonale.</w:t>
      </w:r>
    </w:p>
    <w:p>
      <w:r>
        <w:rPr>
          <w:b/>
        </w:rPr>
        <w:t>E. 2.1</w:t>
      </w:r>
    </w:p>
    <w:p>
      <w:r>
        <w:t>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 Aux termes de l'art. 95 al. 1 CPC,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 e éd. 2019, n. 26 ad art. 95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rPr>
          <w:b/>
        </w:rPr>
        <w:t>E. 2.2</w:t>
      </w:r>
    </w:p>
    <w:p>
      <w:r>
        <w:t>En l’espèce, le Tribunal fédéral donne en définitive raison au défendeur et appelant W.________ en ce sens que les demandeurs et intimés A.N.________ et B.N.________ ne pouvaient pas agir contre lui seul. Ainsi W.________ obtient gain de cause tant en appel qu’en première instance, ce qui justifie, en application de l’art. 106 CPC, de faire supporter l’entier des frais judiciaires afférents à la procédure cantonale à A.N.________ et B.N.________ et de les condamner au versement de pleins dépens en sa faveur, pour les deux instances concernées, conformément à ce qui suit. Les frais judiciaires de première instance, par 1'200 fr. au total, soit 300 fr. pour la procédure de conciliation et 900 fr. pour la procédure au fond, doivent être mis à la charge des demandeurs, solidairement entre eux. Ils verseront en outre, solidairement entre eux, un montant de 3'000 fr. au défendeur à titre de dépens de première instance et lui rembourseront, le cas échéant, les frais judiciaires et les dépens de première instance initialement mis à sa charge et dont celui-ci se serait éventuellement d’ores et déjà acquitté en leur faveur. Les frais judiciaires de deuxième instance, arrêtés à 900 fr., doivent également être mis à la charge des intimés, solidairement entre eux. Ces derniers verseront en outre, solidairement entre eux, la somme de 2'000 fr. à l’appelant à titre de dépens de deuxième instance (art.</w:t>
      </w:r>
    </w:p>
    <w:p>
      <w:r>
        <w:rPr>
          <w:b/>
        </w:rPr>
        <w:t>E. 7</w:t>
      </w:r>
    </w:p>
    <w:p>
      <w:r>
        <w:t>TDC [tarif des dépens en matière civile du 23 novembre 2010 ; BLV 270.11.6]) , en sus du remboursement de l’avance de frais judiciaires acquittée par celui-ci. Il ne sera pas perçu de frais supplémentaires pour le présent arrêt (art. 5 al. 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