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497 vom 28. Juni 2021</w:t>
      </w:r>
    </w:p>
    <w:p>
      <w:r>
        <w:t>VD Tribunal cantonal, 2021-06-28, FR</w:t>
      </w:r>
    </w:p>
    <w:p>
      <w:r>
        <w:rPr>
          <w:b/>
        </w:rPr>
        <w:t xml:space="preserve">Quelle: </w:t>
      </w:r>
      <w:r>
        <w:t>https://mcp.opencaselaw.ch/entscheid/vd_findinfo_HC___2021___497</w:t>
      </w:r>
    </w:p>
    <w:p>
      <w:r>
        <w:t>FR: VD_FINDINFO HC / 2021 / 497 du 28 juin 2021</w:t>
      </w:r>
    </w:p>
    <w:p>
      <w:r>
        <w:t>IT: VD_FINDINFO HC / 2021 / 497 del 28 giugno 2021</w:t>
      </w:r>
    </w:p>
    <w:p>
      <w:pPr>
        <w:pStyle w:val="Heading2"/>
      </w:pPr>
      <w:r>
        <w:t>Regeste</w:t>
      </w:r>
    </w:p>
    <w:p>
      <w:r>
        <w:t>MOTIVATION DE LA DEMANDE, PRÊT DE CONSOMMATION, MANIFESTATION DE VOLONTÉ | 1 CO, 312 CO, 311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L’appelante considère que les faits retenus par l’autorité de première instance seraient télégraphiques et divergeraient de ceux qu’elle a allégués, soit qu’ils seraient incomplets ou encore inexacts voire tronqués. Au chapitre III de son appel, elle expose les faits qu’elle estime pertinents, sous la forme d’allégués avec offres de preuve.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Par voie de conséquence,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 ; Colombini, Code de procédure civile, Condensé de la jurisprudence fédérale et vaudoise, Lausanne 2018, n. 8.2.2 ad art. 311 CPC).</w:t>
      </w:r>
    </w:p>
    <w:p>
      <w:r>
        <w:rPr>
          <w:b/>
        </w:rPr>
        <w:t>E. 3.2</w:t>
      </w:r>
    </w:p>
    <w:p>
      <w:r>
        <w:t>En l’espèce, l’exposé des faits figurant au chapitre III de l’acte d’appel ne répond pas aux exigences légales et jurisprudentielles en matière de motivation. L’appelante, qui se contente de mentionner sa version des faits, ne désigne en effet pas les passages du jugement de première instance qui devraient être modifiés en raison d’une constatation inexacte des faits, respectivement de quelle manière le jugement devrait être modifié et dans quelle mesure la modification sollicitée serait de nature à influer sur la solution retenue par le premier juge. Dans ces conditions, il n’y a pas lieu de prendre en compte cette partie du mémoire d’appel, sous réserve des deux problématiques qui sont examinées ci-après. Au chiffre 9, l’appelante fait valoir que le témoignage du compagnon de l’intimée a été retenu de manière arbitraire par la Présidente. Toutefois, l’appelante n’explique pas en quoi l’appréciation de l’autorité de première instance serait erronée lorsqu’elle a jugé les déclarations du témoin en cause « crédibles et concordantes ». Les deux pièces mentionnées par l’appelante sur ce point, dont une n’existe pas, ne permettent pas non plus de le comprendre (appel, ch. 9, p. 4). Quoi qu’il en soit, le témoignage en question ne permet pas de prouver l’existence ou non du contrat de prêt invoqué par l’appelante, de sorte que cette problématique est sans incidence sur le sort de la cause. Ensuite, au chiffre 12, qui concerne les allégués n os 65 et 66 de la demande, l’appelante reproche au premier juge de ne pas les avoir repris dans l’état de fait du jugement querellé alors qu’ils ont été prouvés. Il y a tout d’abord lieu de relever que, contrairement à ce qu’elle indique, le premier juge a repris les faits en relation avec l’allégué n° 65 précité puisque le jugement mentionne expressément que les trois virements litigieux ont été effectués à partir du compte postal qu’elle détient avec son mari (jgt, p. 21, 6 e ligne). S’agissant de l’allégué n° 66 de la demande, les pièces produites au dossier permettent effectivement de constater que les rentes AVS et LPP de l’appelante et de son époux leur sont versées sur ce compte commun, ce que le jugement ne mentionne pas. Dès lors que cet élément est discuté par l’appelante, qui y voit un indice en faveur de l’existence d’un contrat de prêt, l’état de fait du jugement doit être complété sur ce point, l’allégué ayant été prouvé.</w:t>
      </w:r>
    </w:p>
    <w:p>
      <w:r>
        <w:rPr>
          <w:b/>
        </w:rPr>
        <w:t>E. 4</w:t>
      </w:r>
    </w:p>
    <w:p>
      <w:r>
        <w:t>L’appelante considère que les trois virements litigieux doivent être, d’après les circonstances du cas d’espèce, qualifiés de prêt à la consommation au sens de l’art. 312 CO (Code des obligations du 30 mars 1911 ; RS 311.0). Elle fait valoir que l’obtention par l’intimée des sommes d’argent litigieuses constituerait à elle seule un indice suffisant pour admettre l’existence d’un contrat de prêt et partant une obligation de restituer. Elle ajoute qu’ayant deux enfants, elle ne pouvait avoir voulu en favoriser un aux dépens de l’autre. Elle soutient en outre qu’ayant procédé à trois virements à partir du compte postal commun qu’elle détient avec son époux, ces virements ne pouvaient correspondre à une donation, dès lors qu’il y aurait lieu de considérer qu’ils proviendraient du compte d’un tiers. En d’autres termes, à bien comprendre l’appelante, celle-ci ferait valoir que les trois versements ne pouvaient concerner qu’un prêt à la consommation puisqu’il s’agirait de biens appartenant à autrui, de sorte qu’elle ne pouvait – semble-t-il – disposer librement de l’argent en question. Elle précise à cet égard que son époux n’avait aucun intérêt à l’exécution des trois virements en cause, puisqu’il n’est pas le père de l’intimée, ni du fils de l’appelante, et qu’il a par ailleurs lui-même deux filles issues d’une précédente relation. Selon l’appelante, il n’existerait aucun motif pour qualifier les versements litigieux de donation, dans la mesure où elle est retraitée et où sa situation financière ne lui permettrait pas de faire cadeau d’un montant de 16’000 fr. sans attendre de remboursement. Enfin, l’appelante relève que l’intimée a été sommée de rembourser la somme en question à quatre reprises entre le 7 août et le 11 novembre 2019, mais que cette dernière n’a réagi qu’en date du 12 juin 2020 par l’intermédiaire de son conseil, qui aurait évoqué faussement un prétendu cadeau.</w:t>
      </w:r>
    </w:p>
    <w:p>
      <w:r>
        <w:rPr>
          <w:b/>
        </w:rPr>
        <w:t>E. 4.1</w:t>
      </w:r>
    </w:p>
    <w:p>
      <w:r>
        <w:t>Selon l’art. 312 CO,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consid. 4.2 ; TF 4A_17/2009 du 14 avril 2009 consid. 4.1; Tercier et al., Les contrats spéciaux, 5 e éd., Zurich 2016, n. 2497). Ainsi, lorsque le prêt consiste en une somme d’argent, l’emprunteur doit en principe rembourser le montant reçu (Tercier et al., op. cit., n. 2527). Le prêt de consommation porte donc sur des choses interchangeables. Ce contrat n’est pas nécessairement gratuit (Engel, Contrats de droit suisse, 2 e éd., Berne 2000, p. 267). Cependant, en matière civile, un intérêt n’est dû que s’il a été stipulé (art. 313 et 314 CO). Celui qui agit en restitution d’un prêt doit donc non seulement apporter la preuve qu’il a remis les fonds,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(art. 8 CC [Code civil suisse du 10 décembre 1907 ; RS 210] ; ATF 144 III 93 consid. 5.1.1 ; ATF 83 Il 209 consid. 2 ; TF 5A_626/2017 du 25 juin 2018 consid. 3.3.1 ; TF 4A_639/2015 du 28 juillet 2016 ; TF 4A_12/2013 du 27 juin 2013 consid. 2.1). En effet, quand bien même une donation ne se présume pas, le demandeur n’est au bénéfice d’aucune présomption légale et doit apporter la preuve que l’obligation de remboursement a été convenue (TF 5A_626/2017 du 25 juin 2018 consid. 3.3.1 et les références citées).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(ATF 144 III 93 consid. 5.1.1 ; ATF 83 II 209 consid. 2 ; TF 5A_626/2017 du 25 juin 2018 consid. 3.3.1). Il ne s’agit en effet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 CACI 10 septembre 2013/462 consid. 3.3 ; SJ 1961 p. 413 ; SJ 1960 p. 312 ; SJ 1958 p. 417 ; Engel, op. cit., p. 268). Comme pour tout contrat, la conclusion d’un contrat de prêt de consommation suppose un accord entre les parties, soit une manifestation de volontés réciproques et concordantes (art. 1 CO) ; cet accord peut être exprès ou tacite, la loi n’exigeant aucune forme spéciale (art. 11 CO ; Tercier et al., op. cit., n. 2515).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(Tercier/Pichonnaz, Le droit des obligations, 5 e éd., 2012, n. 179). Les parties sont liées dès l’instant où elles se sont mises d’accord sur l’ensemble des points objectivement et subjectivement essentiels (art. 2 al. 1 CO). Le juge doit tout d’abord mettre à jour la réelle et commune volonté des parties, le cas échéant empiriquement, sur la base d’indices, sans s’arrêter aux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144 III 93 consid. 5.2.2 ; ATF 142 III 239 consid. 5.2.1 ; TF 4A_506/2019 du 30 octobre 2019 consid. 2.1 ; TF 4A_65/2012 du 21 mai 2012 consid. 10.2 et les références citées). Si cette interprétation ne s’avère pas concluante, le juge devra rechercher, en appliquant le principe de la confiance, le sens que les parties pouvaient et devaient donner, selon les règles de la bonne foi, à leurs manifestations de volonté en fonction de l’ensemble des circonstances (ATF 144 III 43 consid. 3.3 ; ATF 142 III 239 consid. 5.2.1 ; ATF 140 III 134 consid. 3.2). Cette interprétation, dite objective, qui relève du droit, s’effectuera non seulement d’après le texte et le contexte des déclarations, mais également au regard des circonstances qui les ont précédées et accompagnées (ATF 142 III 239 consid. 5.2.1 : ATF 131 III 377 consid. 4.2.1), à l’exclusion des circonstances postérieures (ATF 144 III 43 consid. 3.3 ; ATF 142 III 239 consid. 5.2.1 ; ATF 133 III 61 consid. 2.2.1).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rés. in JdT 1958 I 177, SJ 1958 p. 417 ; TF 5A_626/2017 du 28 juin 2017 consid. 3.3.1 ; TF 4A_639/2015 du 28 juillet 2016 consid. 5.1 ; TF 4A_12/2013 du 27 juin 2013 consid. 2.1).</w:t>
      </w:r>
    </w:p>
    <w:p>
      <w:r>
        <w:rPr>
          <w:b/>
        </w:rPr>
        <w:t>E. 4.2</w:t>
      </w:r>
    </w:p>
    <w:p>
      <w:r>
        <w:t>L’appelante fait valoir des circonstances, en lien avec la remise des fonds, dont il conviendrait de déduire qu’elles seraient de nature à prouver l’existence d’un contrat de prêt entre les parties.</w:t>
      </w:r>
    </w:p>
    <w:p>
      <w:r>
        <w:rPr>
          <w:b/>
        </w:rPr>
        <w:t>E. 4.2.1</w:t>
      </w:r>
    </w:p>
    <w:p>
      <w:r>
        <w:t>En premier lieu, l’appelante considère que les trois versements litigieux permettraient de retenir une présomption de fait en faveur de l’existence d’un contrat de prêt. L’appelante se réfère notamment à la jurisprudence rendue par le Tribunal fédéral sous la référence TF 4A_639/2015 du 28 juillet 2016. Comme cela a été évoqué ci-dessus (cf. consid. 4.1 supra ), dans cet arrêt, le Tribunal fédéral a d’abord rappelé que celui qui agissait en restitution d’un prêt devait apporter la preuve non seulement de la remise des fonds, mais encore et au premier chef du contrat de prêt de consommation et, par conséquent, de l’obligation de restitution qui en découlait. Ensuite, il a relevé que quand bien même une donation ne se présumait pas, celui qui se prévalait de l’existence d’un prêt ne bénéficiait d’aucune présomption légale et devait donc apporter la preuve que l’obligation de remboursement avait été convenue. Selon les circonstances, le juge pouvait toutefois, dans le cadre de son appréciation des preuves, déduire du seul fait que l’emprunteur avait reçu une somme d’argent un indice suffisant pour admettre l’existence d’un contrat de prêt et, partant, l’obligation de restituer (présomption de fait). Dans cette affaire, une présomption de fait avait effectivement été retenue en faveur de l’existence d’un contrat de prêt. Cependant, en l’espèce, le contexte et la relation entre les parties sont fondamentalement différents du cas qui avait été soumis au Tribunal fédéral dans l’arrêt précité. Celui-ci concernait en effet un client fortuné domicilié en Israël et une société de gestion établie à Genève, et portait donc sur une relation exclusivement commerciale. Or, en l’occurrence, un lien familial unit les parties au premier degré et les circonstances des versements litigieux ne s’inscrivent dans aucune opération préalable ni événement particulier, ce qui constitue bien plutôt un indice en faveur d’une donation. Ainsi, il n’est pas possible de retenir ici que la remise des fonds litigieux ne s’expliquerait raisonnablement que par la conclusion d’un prêt. Du reste, dans le second arrêt cité par l’appelante, à savoir l’ATF 83 II 209 (consid. 2), qui concerne justement la remise d’une somme d’argent avait été remise dans un cadre familial, le Tribunal fédéral a considéré que la preuve de l’existence du prêt n’avait pas été rapportée par la seule transmission des fonds litigieux.</w:t>
      </w:r>
    </w:p>
    <w:p>
      <w:r>
        <w:rPr>
          <w:b/>
        </w:rPr>
        <w:t>E. 4.2.2</w:t>
      </w:r>
    </w:p>
    <w:p>
      <w:r>
        <w:t>En deuxième lieu, l’appelante expose qu’elle n’aurait jamais pu accepter de favoriser l’un de ses deux enfants par rapport à l’autre et que les trois versements ne pouvaient se comprendre que dans la perspective d’un contrat de prêt avec une obligation de remboursement. Cet argument fait référence à un courrier que l’intéressée aurait adressé à l’intimée en date du 7 août 2019 et dans lequel il est fait mention des termes « par souci d’égalité entre mes enfants » pour justifier le remboursement des montants en cause. Toutefois, l’envoi du courrier n’a pas été prouvé, de sorte qu’il n’a pas été retenu à raison par le premier juge pour établir les faits de la cause. Les versements ont eu lieu à la fin de l’année 2015 et au début de l’année 2016, et les relevés de compte ne mentionnent aucun libellé permettant d’expliquer le motif des versements. Contrairement à ce que soutient l’appelante, le souci d’équité qu’elle fait valoir vis-à-vis de ses deux enfants paraît en réalité bien plus démontrer l’existence d’une donation que celle d’un contrat de prêt. En effet, si les versements en question s’étaient inscrits dans le cadre d’un tel contrat, il n’y aurait selon toute vraisemblance eu aucun problème d’équité entre les enfants, dès lors que l’intimée se serait engagée à rembourser l’argent perçu. De surcroît, le courrier du 4 septembre 2019, adressé à l’intimée en recommandé, n’aurait pas manqué de s’y référer. Dans conditions, il y a lieu d’admettre que le souci d’équité dont se prévaut l’appelante, au demeurant plus de trois ans après les versements litigieux, constitue plutôt un indice en faveur d’une donation.</w:t>
      </w:r>
    </w:p>
    <w:p>
      <w:r>
        <w:rPr>
          <w:b/>
        </w:rPr>
        <w:t>E. 4.2.3</w:t>
      </w:r>
    </w:p>
    <w:p>
      <w:r>
        <w:t>En dernier lieu, l’appelante relève qu’elle ne pouvait effectuer une donation au travers du compte postal commun dont elle est titulaire avec son mari, dès lors que les fonds déposés sur ce compte devraient être considérés comme un bien appartenant à autrui. Cet argument n’est toutefois pas convaincant. L’appelante disposait en effet des droits lui permettant d’effectuer des prélèvements sur le compte en question, de sorte que l’usage des fonds, respectivement la légitimité des versements, ne souffre aucune discussion. Cela vaut d’autant plus que ces versements n’ont pas été remis en cause durant plus de trois ans. Au demeurant, il n’appartenait pas à l’intimée de se préoccuper de cette question, la problématique relevant exclusivement des rapports internes entre les deux titulaires du compte. Pour le reste, le fait que ce compte commun soit alimenté par les rentes de l’appelante et de son époux n’y change rien et ne saurait non plus constituer un indice en faveur de l’existence d’un contrat de prêt liant les parties.</w:t>
      </w:r>
    </w:p>
    <w:p>
      <w:r>
        <w:rPr>
          <w:b/>
        </w:rPr>
        <w:t>E. 4.3</w:t>
      </w:r>
    </w:p>
    <w:p>
      <w:r>
        <w:t>Les parties ne remettent pas en cause l’absence de toute convention écrite en lien avec les versements litigieux. Ainsi, force est de constater qu’aucun élément probant ne permet de démontrer, sur la base d’une interprétation subjective, l’existence d’une manifestation de volonté concordante entre les parties établissant la conclusion d’un contrat de prêt. Quant à l’interprétation objective des circons-tances, aucun indice ne permet non plus d’établir que l’appelante aurait émis une manifestation de volonté pouvant être comprise de bonne foi par l’intimée comme lui imposant le devoir de restituer les montants qui lui ont été versés. A cet égard, il faut relever que ce n’est pas le courrier recommandé adressé par l’appelante le 4 septembre 2019 ni le commandement de payer du 9 octobre 2019 qu’elle lui a fait notifier qui pourraient, a posteriori, fournir un élément pertinent à cet égard. En outre, dans les circonstances du cas d’espèce, la remise des fonds ne saurait, comme on l’a vu précédemment (cf. consid. 4.2.1 supra ), constituer à elle seule un indice en faveur de l’existence d’un contrat de prêt. L’appelante étant la mère de l’intimée, les circonstances semblent plutôt démontrer que les trois montants versés en 2015 et en 2016 n’étaient pas sujets à remboursement.</w:t>
      </w:r>
    </w:p>
    <w:p>
      <w:r>
        <w:rPr>
          <w:b/>
        </w:rPr>
        <w:t>E. 4.4</w:t>
      </w:r>
    </w:p>
    <w:p>
      <w:r>
        <w:t>En définitive, sur la base des faits établis, il y a lieu de considérer que l’intimée ne pouvait pas, de bonne foi, inférer des circonstances ayant précédé ou accompagné la remise des fonds litigieux l’existence d’une obligation de sa part de restituer tout ou partie des montants remis.</w:t>
      </w:r>
    </w:p>
    <w:p>
      <w:r>
        <w:rPr>
          <w:b/>
        </w:rPr>
        <w:t>E. 5</w:t>
      </w:r>
    </w:p>
    <w:p>
      <w:r>
        <w:t>En conclusion, l’appel, manifestement infondé, doit être rejeté selon l’art. 312 al. 1 in fine CPC et le jugement entrepris confirmé. Les frais judiciaires de deuxième instance, arrêtés à 760 fr. (art. 62 al. 1 TFJC [tarif des frais judiciaires civils du 28 septembre 2010 ; BLV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