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494 vom 8. Juni 2021</w:t>
      </w:r>
    </w:p>
    <w:p>
      <w:r>
        <w:t>VD Tribunal cantonal, 2021-06-08, FR</w:t>
      </w:r>
    </w:p>
    <w:p>
      <w:r>
        <w:rPr>
          <w:b/>
        </w:rPr>
        <w:t xml:space="preserve">Quelle: </w:t>
      </w:r>
      <w:r>
        <w:t>https://mcp.opencaselaw.ch/entscheid/vd_findinfo_HC___2021___494</w:t>
      </w:r>
    </w:p>
    <w:p>
      <w:r>
        <w:t>FR: VD_FINDINFO HC / 2021 / 494 du 8 juin 2021</w:t>
      </w:r>
    </w:p>
    <w:p>
      <w:r>
        <w:t>IT: VD_FINDINFO HC / 2021 / 494 del 8 giugno 2021</w:t>
      </w:r>
    </w:p>
    <w:p>
      <w:pPr>
        <w:pStyle w:val="Heading2"/>
      </w:pPr>
      <w:r>
        <w:t>Regeste</w:t>
      </w:r>
    </w:p>
    <w:p>
      <w:r>
        <w:t>INDEMNITÉ ÉQUITABLE, ASSISTANCE JUDICIAIRE, REJET DE LA DEMANDE, NOUVEAU MOYEN DE PREUVE | 122 al. 1 let. a CPC (CH), 326 al. 1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 e éd., Bâle 2019,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rPr>
          <w:b/>
        </w:rPr>
        <w:t>E. 1.2</w:t>
      </w:r>
    </w:p>
    <w:p>
      <w:r>
        <w:t>En l'espèce, le recours est formé en temps utile par une partie disposant d'un intérêt digne de protection (art. 59 al. 2 let. a CPC). Par ailleurs, T.________ (ci-après : le recourant), non assisté, conclut implicitement à la suppression de l’indemnité octroyée à son conseil d’office, de sorte que le recours est recevable également sous cet angle (sur l’interprétation globale et de bonne foi des conclusions ainsi que le principe de favor validitatis : TF 4A_274/2020 du 1 er septembre 2020 consid. 6).</w:t>
      </w:r>
    </w:p>
    <w:p>
      <w:r>
        <w:rPr>
          <w:b/>
        </w:rPr>
        <w:t>E. 2</w:t>
      </w:r>
    </w:p>
    <w:p>
      <w:r>
        <w:t>et 3, soit un courrier de son avocate du 5 mars 2019 adressé à l’ancien employeur et la réponse de celui-ci du 12 mars 2019, figurent déjà au dossier de première instance et sont dès lors recevables. Il en va de même des pièces 5 et 6, à savoir la liste des opérations de Me P.________. En revanche, les pièces 1, 4, 7 et 8, soit le recours déposé contre le prononcé du 15 décembre 2020 statuant sur l’indemnité d’office de Me P.________ dans le cadre de la procédure contre l’assureur, un courrier de celle-ci du 14 mars 2019 adressé tant à l’ancien employeur qu’à l’assureur, un courriel de l’avocate du 15 juillet 2019 destiné au recourant et le procès-verbal de l’audience du 29 septembre 2020 dans le litige contre l’assureur, ne ressortent pas de la procédure de première instance et le recourant ne fait pas valoir qu’il aurait été empêché de produire ces documents devant l’autorité précédente. Ces trois dernières pièces, de même que les faits qui en découlent, sont par conséquent irrecevables.</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En l’occurrence, le recourant a produit huit pièces en procédure de recours. Les pièces</w:t>
      </w:r>
    </w:p>
    <w:p>
      <w:r>
        <w:rPr>
          <w:b/>
        </w:rPr>
        <w:t>E. 3.1</w:t>
      </w:r>
    </w:p>
    <w:p>
      <w:r>
        <w:t>Le recourant reproche à l’autorité de première instance d’avoir indemnisé des opérations du conseil d’office qui auraient été inutiles à l’accomplissement du mandat.</w:t>
      </w:r>
    </w:p>
    <w:p>
      <w:r>
        <w:rPr>
          <w:b/>
        </w:rPr>
        <w:t>E. 3.2</w:t>
      </w:r>
    </w:p>
    <w:p>
      <w:r>
        <w:t>Le conseil d’office a droit à une rémunération équitable pour ses opérations et débours (art. 122 al. 1 let. a CPC).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w:t>
      </w:r>
    </w:p>
    <w:p>
      <w:r>
        <w:rPr>
          <w:b/>
        </w:rPr>
        <w:t>E. 3.3</w:t>
      </w:r>
    </w:p>
    <w:p>
      <w:r>
        <w:t>Le recourant affirme que Me P.________ aurait introduit une requête de conciliation malgré le sursis concordataire dont bénéficiait l’ancien employeur O.________ SA, acte qui aurait été inutile, qu’elle aurait poursuivi le traitement du dossier malgré l’annulation de l’audience de conciliation, sans avoir consulté son client au préalable, qu’elle aurait facturé des opérations durant ses vacances et que les opérations ultérieures au 3 octobre 2019 seraient « du remplissage ». Le recourant fait valoir sa propre version des faits, sans démontrer ce qu’il allègue, et tire ses propres conclusions des pièces figurant au dossier. Il n’expose en outre pas en quoi l’appréciation de l’autorité précédente serait erronée. En particulier, le fait de déposer une requête de conciliation à l’encontre d’une société bénéficiant d’un sursis concordataire provisoire ne saurait être considéré comme une démarche procédurale inutile, car elle permettait de faire valoir les prétentions du recourant, la procédure de conciliation étant toutefois suspendue en raison du sursis. Partant, ses griefs tombent à faux. Le recourant allègue encore avoir eu plus de frais d’avocat que le montant finalement obtenu en justice. Ses critiques à cet égard sont sans pertinence et il n’explique une nouvelle fois pas les motifs qui permettraient de s’écarter de l’appréciation de l’autorité précédente quant au montant alloué à l’avocate. En particulier, les prétentions réclamées dans le cadre de la procédure de conciliation étaient de plus de 28'000 fr. alors que l’indemnité du conseil d’office a été arrêtée à 3'482 fr. 80. Par ailleurs, le recourant n’a pas pris de conclusion chiffrée en réduction de l’indemnité ni de conclusion subsidiaire au cas où il aurait obtenu partiellement gain de cause (art. 84 al. 2 CPC ; ATF 142 III 102 consid. 3). Le grief du recourant est ainsi infondé.</w:t>
      </w:r>
    </w:p>
    <w:p>
      <w:r>
        <w:rPr>
          <w:b/>
        </w:rPr>
        <w:t>E. 4.1</w:t>
      </w:r>
    </w:p>
    <w:p>
      <w:r>
        <w:t>En définitive, le recours, manifestement mal fondé, doit être rejeté et le prononcé confirmé.</w:t>
      </w:r>
    </w:p>
    <w:p>
      <w:r>
        <w:rPr>
          <w:b/>
        </w:rPr>
        <w:t>E. 4.2</w:t>
      </w:r>
    </w:p>
    <w:p>
      <w:r>
        <w:t>Vu l’issue du recours, les frais judiciaires de deuxième instance, arrêtés à 100 fr. (art. 69 al. 3 TFJC [tarif des frais judiciaires civils du 28 septembre 2010 ; BLV 270.11.5]), seront mis à la charge du recourant (art. 106 al. 1 CPC). Il n’y a pas lieu à l’allocation de dépens de deuxième instance, dès lors que Me P.________ n’a pas été invitée à déposer une réponse (art. 322 al. 1 in fine CPC).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T.________. IV. L’arrêt est exécutoire. Le président :               La greffière : Du L'arrêt qui précède, dont la rédaction a été approuvée à huis clos, est notifié à : ‑ M. T.________,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