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474 vom 5. Juli 2021</w:t>
      </w:r>
    </w:p>
    <w:p>
      <w:r>
        <w:t>VD Tribunal cantonal, 2021-07-05, FR</w:t>
      </w:r>
    </w:p>
    <w:p>
      <w:r>
        <w:rPr>
          <w:b/>
        </w:rPr>
        <w:t xml:space="preserve">Quelle: </w:t>
      </w:r>
      <w:r>
        <w:t>https://mcp.opencaselaw.ch/entscheid/vd_findinfo_HC___2021___474</w:t>
      </w:r>
    </w:p>
    <w:p>
      <w:r>
        <w:t>FR: VD_FINDINFO HC / 2021 / 474 du 5 juillet 2021</w:t>
      </w:r>
    </w:p>
    <w:p>
      <w:r>
        <w:t>IT: VD_FINDINFO HC / 2021 / 474 del 5 luglio 2021</w:t>
      </w:r>
    </w:p>
    <w:p>
      <w:pPr>
        <w:pStyle w:val="Heading2"/>
      </w:pPr>
      <w:r>
        <w:t>Regeste</w:t>
      </w:r>
    </w:p>
    <w:p>
      <w:r>
        <w:t>CONTRAT DE TRAVAIL, RÉSILIATION ABUSIVE, ADMISSION DE LA DEMANDE, INDEMNITÉ{EN GÉNÉRAL}, CONTRAT DE DURÉE, INCAPACITÉ DE TRAVAIL, MISE À LA RETRAITE | 335 CO, 336 CO, 336a CO</w:t>
      </w:r>
    </w:p>
    <w:p>
      <w:pPr>
        <w:pStyle w:val="Heading2"/>
      </w:pPr>
      <w:r>
        <w:t>Erwägungen</w:t>
      </w:r>
    </w:p>
    <w:p>
      <w:r>
        <w:rPr>
          <w:b/>
        </w:rPr>
        <w:t>E. 5.1</w:t>
      </w:r>
    </w:p>
    <w:p>
      <w:r>
        <w:t>Si l’instance d’appel statue à nouveau, elle se prononce sur les frais – soit les frais judiciaires et les dépens (art. 95 al. 1 CPC) – de la première instance (art. 318 al. 3 CPC). Conformément à l'art. 106 al. 1 CPC, les frais sont mis à la charge de la partie succombante.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(Tappy, op. cit., n. 12 ad art. 106 CPC).</w:t>
      </w:r>
    </w:p>
    <w:p>
      <w:r>
        <w:rPr>
          <w:b/>
        </w:rPr>
        <w:t>E. 5.2</w:t>
      </w:r>
    </w:p>
    <w:p>
      <w:r>
        <w:t>En l’espèce, l’appelante obtient gain de cause sur le caractère abusif de son licenciement et sur la majorité de ses prétentions – elle succombe sur 15 % de ses conclusions. Dans ces conditions, il y a lieu de répartir les frais de première instance, arrêtés à 9'864 fr. 75 (9'414 fr. 75 + 450 fr.), y compris les frais de la procédure de conciliation, à raison d’un sixième à la charge de l’appelante, soit 1'644 fr. 10, et de cinq sixièmes à la charge de l’intimée, soit 8'220 fr. 65, qui seront laissés provisoirement à la charge de l’Etat pour la première nommée (art. 122 al. 1 let. b CPC). La charge des dépens de première instance a été évaluée à 13'230 fr. pour chaque partie. Pour les mêmes motifs que ci-dessus, les dépens doivent être mis à la charge de l’appelante à raison d’un sixième et de l’intimée à raison de cinq sixièmes. L’intimée versera en définitive à l’appelante la somme de 8'820 fr. (13'230 fr. x [2 / 3]) à titre de dépens de première instance, l’octroi de l’assistance judiciaire à la partie ayant obtenu gain de cause ne dispensant pas la partie adverse du versement des dépens (art. 122 al. 2 CPC).</w:t>
      </w:r>
    </w:p>
    <w:p>
      <w:r>
        <w:rPr>
          <w:b/>
        </w:rPr>
        <w:t>E. 6.1</w:t>
      </w:r>
    </w:p>
    <w:p>
      <w:r>
        <w:t>En définitive, l’appel doit être partiellement admis et le jugement réformé dans le sens des considérants.</w:t>
      </w:r>
    </w:p>
    <w:p>
      <w:r>
        <w:rPr>
          <w:b/>
        </w:rPr>
        <w:t>E. 6.2</w:t>
      </w:r>
    </w:p>
    <w:p>
      <w:r>
        <w:t>L’appelante obtient entièrement gain de cause sur ses conclusions prises en procédure d’appel, ayant renoncé aux conclusions en lien avec l’indemnité pour tort moral. Pour ces motifs, l’intégralité des frais de la procédure d’appel, arrêtés à 712 fr. (art. 62 al. 1 et 67 al. 3 TFJC [tarif des frais judiciaires civils du 28 septembre 2010 ; BLV 270.11.5]) doivent être mis à la charge de l’intimée qui succombe entièrement. Elle doit verser à l’appelante la somme de 3'500 fr. à titre de dépens de deuxième instance (art. 7 al. 1 TDC [tarif des dépens en matière civile du 23 novembre 2010 ; BLV 270.11.6]), et lui restituer la somme de 712 fr. à titre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