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462 vom 28. Juni 2021</w:t>
      </w:r>
    </w:p>
    <w:p>
      <w:r>
        <w:t>VD Tribunal cantonal, 2021-06-28, FR</w:t>
      </w:r>
    </w:p>
    <w:p>
      <w:r>
        <w:rPr>
          <w:b/>
        </w:rPr>
        <w:t xml:space="preserve">Quelle: </w:t>
      </w:r>
      <w:r>
        <w:t>https://mcp.opencaselaw.ch/entscheid/vd_findinfo_HC___2021___462</w:t>
      </w:r>
    </w:p>
    <w:p>
      <w:r>
        <w:t>FR: VD_FINDINFO HC / 2021 / 462 du 28 juin 2021</w:t>
      </w:r>
    </w:p>
    <w:p>
      <w:r>
        <w:t>IT: VD_FINDINFO HC / 2021 / 462 del 28 giugno 2021</w:t>
      </w:r>
    </w:p>
    <w:p>
      <w:pPr>
        <w:pStyle w:val="Heading2"/>
      </w:pPr>
      <w:r>
        <w:t>Regeste</w:t>
      </w:r>
    </w:p>
    <w:p>
      <w:r>
        <w:t>ERREUR ESSENTIELLE, TRANSACTION JUDICIAIRE, REJET DE LA DEMANDE | 23 CO, 279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l’appel porte sur des conclusions supérieures à 10'000 fr. et a été déposé en temps utile contre une décision finale par une partie qui y a un intérêt (art. 59 al. 2 let. a CPC). C.Q.________ (ci-après : l'appelant) requiert la réforme du chiffre II du dispositif du jugement entrepris s’agissant des pensions dues pour les trois enfants des parties et de la liquidation du régime matrimonial. Cependant, l'appel n'est ouvert contre la ratification d'une convention sur les effets accessoires du divorce que pour faire vérifier que les conditions de la ratification étaient réunies. Cela ne limite pas l'appelant au grief du vice du consentement (TF 5A_96/2018 du 13 août 2018 consid. 2.2.3 et les réf. citées), mais l'autorité d'appel ne saurait réexaminer et modifier les effets convenus selon sa propre appréciation. Ainsi, en cas d'admission de l'appel, la juridiction de deuxième instance ne peut pas rendre une nouvelle décision sur le fond (CACI 25 mars 2021 consid. 3.2 et les réf. citées). La Cour de céans pourrait dès lors tout au plus procéder à l'annulation du jugement litigieux au vu de son pouvoir d’examen limité à la réalisation des conditions pour ratifier la convention. On peut cependant se demander si, de bonne foi, l'appelant soutient implicitement que la ratification ne devrait pas avoir lieu et qu'il conclut à l'annulation. Cette question peut rester ouverte, l'appel devant être rejeté pour les motifs qui suivent.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S’agissant des questions relatives aux enfants, la maxime inquisitoire illimitée (art. 296 al. 1 CPC) et la maxime d'office (art. 296 al. 3 CPC) sont applicables. Dans ces cas,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(ATF 140 III 485 consid. 3.3 ; ATF 128 III 411 consid. 3.2.1 ; TF 5A_528/2015 du 21 janvier 2016 consid. 2). Dans cette mesure, il y a lieu d'admettre que, lorsque la procédure est soumise à la maxime inquisitoire illimitée, les parties peuvent présenter des nova en appel même si les conditions de l'art. 317 al. 1 CPC ne sont pas réunies (ATF 144 III 349 consid. 4.2.1).</w:t>
      </w:r>
    </w:p>
    <w:p>
      <w:r>
        <w:rPr>
          <w:b/>
        </w:rPr>
        <w:t>E. 2.2.2</w:t>
      </w:r>
    </w:p>
    <w:p>
      <w:r>
        <w:t>Outre les pièces de forme et celles qui figurent déjà au dossier de première instance, l’appelant a produit différents documents concernant ses recherches d’emploi, sa situation financière et son état de santé. La question de la recevabilité de ces pièces peut néanmoins rester ouverte au vu du sort de l’appel. Il en va de même s’agissant des deux pièces produites par l’intimée qui concernent les enfants majeurs des parties.</w:t>
      </w:r>
    </w:p>
    <w:p>
      <w:r>
        <w:rPr>
          <w:b/>
        </w:rPr>
        <w:t>E. 2.3.1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2.3.2</w:t>
      </w:r>
    </w:p>
    <w:p>
      <w:r>
        <w:t>En l’occurrence, l’appelant a indiqué, à l’appui de ses allégations nouvelles en deuxième instance, la preuve par expertise et par audition de témoins. Il a également requis la production de certains documents. Ces réquisitions peuvent être rejetées par appréciation anticipée des preuves au vu des considérants qui suivent, le dossier étant complet sur les faits de la cause et la présente procédure d’appel pouvant être conduite sans administration de preuves supplémentaires.</w:t>
      </w:r>
    </w:p>
    <w:p>
      <w:r>
        <w:rPr>
          <w:b/>
        </w:rPr>
        <w:t>E. 3</w:t>
      </w:r>
    </w:p>
    <w:p>
      <w:r>
        <w:t>e éd., Zurich 2016, n° 29 ad art. 23-24 CO ; Schwenzer/Fountoulakis, in Basler Kommentar,</w:t>
      </w:r>
    </w:p>
    <w:p>
      <w:r>
        <w:rPr>
          <w:b/>
        </w:rPr>
        <w:t>E. 3.1</w:t>
      </w:r>
    </w:p>
    <w:p>
      <w:r>
        <w:t>L’appelant ne conteste pas les faits retenus par l’autorité de première instance, mais se prévaut de faits nouveaux postérieurs à la signature de la convention, à savoir la deuxième vague de Covid-19 apparue en septembre 2020 et qui n'aurait pas été prévisible en août de la même année. Cette nouvelle vague l'aurait amené à devoir dissoudre sa société. L'appelant invoque dès lors une « erreur essentielle au sens de l'art. 23 CO », parce qu'il n'aurait presque plus de revenus et qu'il aurait rechuté dans son burnout, ce qui constituerait un second motif pour invoquer une erreur essentielle. Au vu de sa situation actuelle, il ne pourrait pas payer le solde de 190'000 fr. pour le rachat de la part de copropriété de l’intimée d'ici au 31 décembre 2021, également en raison d'une erreur essentielle.</w:t>
      </w:r>
    </w:p>
    <w:p>
      <w:r>
        <w:rPr>
          <w:b/>
        </w:rPr>
        <w:t>E. 3.2.1</w:t>
      </w:r>
    </w:p>
    <w:p>
      <w:r>
        <w:t>Le litige porte sur les conditions de la ratification d'une convention sur les effets accessoires du divorce conclue dans le cadre d'une procédure de divorce sur requête unilatérale.</w:t>
      </w:r>
    </w:p>
    <w:p>
      <w:r>
        <w:rPr>
          <w:b/>
        </w:rPr>
        <w:t>E. 3.2.2</w:t>
      </w:r>
    </w:p>
    <w:p>
      <w:r>
        <w:t>Selon l’art. 279 al. 1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Une telle convention lie les parties et ne peut pas être révoquée unilatéralement par un époux ; celui-ci peut seulement demander au juge de ne pas la ratifier (TF 5A_501/2015 du 12 janvier 2016 consid. 3.1.1 et les réf. citées).</w:t>
      </w:r>
    </w:p>
    <w:p>
      <w:r>
        <w:rPr>
          <w:b/>
        </w:rPr>
        <w:t>E. 3.2.3</w:t>
      </w:r>
    </w:p>
    <w:p>
      <w:r>
        <w:t>Avant de ratifier la convention, le juge doit veiller à ce qu'elle ait été conclue par les parties après mûre réflexion, c'est-à-dire qu'il doit avant tout contrôler que les époux ont compris les dispositions de leur convention et les conséquences qu'elles impliquent, veillant notamment à ce qu'elle n'ait pas été conclue dans la précipitation ou acceptée par lassitude (TF 5A_683/2014 du 18 mars 2015 consid. 6.1 et les réf. citées, dont notamment TF 5A_187/2013 du 4 octobre 2013 consid. 6.1 et les réf. citées, FamPra.ch 2014 p. 409). Il doit en outre s'assurer que les époux l'ont conclue de leur plein gré, c'est-à-dire qu'ils ont formé librement leur volonté et qu'ils l'ont communiquée librement. Le consentement exempt de vices au sens du droit des obligations ne correspond pas totalement à un consentement donné après mûre réflexion et du plein gré de la personne concernée, le second devant être examiné de manière moins restrictive par le juge du divorce (TF 5A_772/2014 du 17 mars 2015 consid. 5.1 ; TF 5A_721/2012 du 17 janvier 2013 consid. 3.3.2). La condition du plein gré présuppose toutefois également que les parties n'aient conclu leur convention ni sous l'empire d'une erreur (art. 23 ss CO [Code des obligations du 30 mars 1911 ; RS 220]), ni sous l'emprise du dol (art. 28 CO) ou de la menace (art. 29 s. CO). Elle n'oblige toutefois pas le juge à rechercher des vices du consentement cachés, la maxime des débats étant applicable. La partie victime d'un vice du consentement supporte le fardeau de l'allégation et celui de la preuve de ce vice (art. 8 CC).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être dans l'erreur (TF 5A_187/2013 précité consid. 7.1 et les réf. citées).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(erreur sur le caput controversum ; TF 5A_772/2014 précité consid. 5.1 ; TF 5A_187/2013 précité consid. 7.1). Au contraire de certains auteurs, la jurisprudence admet qu'une erreur essentielle peut porter sur un fait futur (pour un résumé des positions, cf. par ex. Kut, in Handkommentar zum Schweizer Privatrecht,</w:t>
      </w:r>
    </w:p>
    <w:p>
      <w:r>
        <w:rPr>
          <w:b/>
        </w:rPr>
        <w:t>E. 3.3</w:t>
      </w:r>
    </w:p>
    <w:p>
      <w:r>
        <w:t>En l'espèce, l’appelant invoque une erreur essentielle en raison de la deuxième vague de la pandémie qui aurait conduit à une diminution de ses revenus et à une rechute dans un burnout. Or, on ne se trouve pas dans une situation où le fait futur, soit la fin définitive de la crise sanitaire liée au Covid-19, aurait objectivement pu être considéré comme certain au moment de la conclusion de la convention. L'évolution de la situation sanitaire constituait au contraire un fait incertain, comme l'évolution de la situation économique et de santé de l'appelant. A supposer même que la deuxième vague de Covid-19 puisse être considérée comme inattendue, il n'en demeure pas moins que le principe est que chaque partie doit supporter le risque de développements futurs inattendus. Le fait que l'appelant invoque que sa situation actuelle ne lui permet pas d'honorer ses engagements ne l'autorise pas à se prévaloir de l'erreur essentielle. La diminution de revenus alléguée n’est donc pas de nature à invalider l’accord intervenu entre les parties, que ce soit en lien avec les pensions dues en faveur des enfants ou la liquidation du régime matrimonial, dès lors que l’appelant a signé la convention d’août 2020 alors que la première vague de la pandémie avait déjà eu lieu et qu’il avait pu en mesurer les conséquences sur sa situation financière. Il lui incombait de prévoir les éventuelles répercussions de la crise sanitaire sur ses revenus futurs avant de signer la convention. L’appelant expose du reste qu’il a pu honorer les pensions en faveur de ses enfants jusqu’en février 2021, soit durant plusieurs mois après la deuxième vague de septembre 2020. Il a également été en mesure de payer 20'000 fr. à l’intimée fin août 2020 à titre d’acompte sur le rachat de la part au logement conjugal. S’agissant de ses problèmes de santé, l’appelant se réfère à une période antérieure à la pandémie, soit à la situation qui prévalait en avril 2019, et ne démontre aucunement une rechute. En outre, lors de sa ratification, la convention n'apparaissait pas inéquitable et l'appelant ne soutient pas qu'il l'aurait signée de manière irréfléchie ou sans en avoir saisi la portée, a fortiori alors qu’il était assisté. On ne discerne pas non plus, dans les écritures de l'appelant, de motifs qu'il pourrait tirer d'une éventuelle carence de l’autorité précédente dans les contrôles qu'il lui incombait d'accomplir (consid. 3.2.3 supra ). La ratification est ainsi intervenue à juste titre et l'appelant n'est pas fondé à la remettre en cause. 4. 4.1 En définitive, l'appel, manifestement mal fondé, doit être rejeté (art 312 al. 1 CPC) et le jugement entrepris confirmé. 4.2 Au vu de l'issue du litige, les frais judiciaires de deuxième instance, arrêtés à 1'200 fr. (art. 63 al. 2 TFJC [tarif des frais judiciaires civils du 28 septembre 2010 ; BLV 270.11.5], seront mis à la charge de l'appelant, qui succombe (art. 106 al. 1 CPC), et provisoirement assumés par l'Etat compte tenu de l'assistance judiciaire (art. 122 al. 1 let. b CPC). Par ailleurs, l'appelant versera à l'intimée la somme de 1'500 fr. (art. 7 TDC [tarif des dépens en matière civile du 23 novembre 2010 ; BLV 270.11.6]) à titre de dépens de deuxième instance, l'intimée ayant dû participer avec son mandataire à l'audience de conciliation. 4.3 4.3.1 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(art. 2 al. 1 RAJ [règlement du 7 décembre 2010 sur l’assistance judiciaire en matière civile ; BLV 211.02.3]). 4.3.2 Le conseil d’office de l’appelant, Me Olivier Carré, a indiqué dans sa liste des opérations du 11 mai 2021 avoir consacré 9 heures et 29 minutes au dossier. Il convient en premier lieu de retrancher de cette liste des opérations celles qui ne concernent pas la procédure devant le Tribunal cantonal, seule l’activité devant la Cour de céans devant être indemnisée dans le cadre de la présente décision. Partant, les opérations des 1 er et 3 février 2021 (« lettre(s) à Greffe Tarr » et « appel(s) téléphonique(s) de Greffe Tarr ») pour un total de 5 minutes doivent être déduites. Par ailleurs, 6 minutes pour l’opération « lettre(s) à OP » (23 mars 2021) doivent également être retranchées dans la mesure où l’on ne sait pas si cette opération concerne la procédure d’appel, faute de précisions. Enfin, Me Carré annonce 12 minutes pour la préparation d’un bordereau le 26 janvier 2021. S’agissant d’un pur travail de secrétariat (notamment CREC 3 septembre 2014/312 consid. 3c), cette opération ne sera pas indemnisée. Il s'ensuit que l'indemnité de Me Carré doit être fixée à 1'638 fr. au tarif horaire de 180 fr., correspondant à 9 heures et 6 minutes de travail, indemnité à laquelle s'ajoutent le forfait de vacation par 120 fr. (art. 3bis al. 3 RAJ), les débours par 32 fr. 75, équivalant à 2 % du défraiement hors taxe (art. 3bis al. 1 RAJ), et la TVA sur le tout par 137 fr. 90, soit 1'928 fr. 65 au total, montant arrondi à 1'929 francs. 4.3.3 Le conseil d’office de l’intimée, Me Isabelle Jaques, a indiqué dans sa liste des opérations du 17 mai 2021 avoir consacré 8 heures et 30 minutes au dossier. L’ouverture du dossier le 2 février 2021 (18 minutes) et l’établissement d’un bordereau de pièces le 22 mars 2021 (6 minutes) doivent être déduits des opérations, dès lors qu’il s’agit d’un pur travail de secrétariat (consid. 4.3.2 supra ). De plus, Me Jaques indique 2 heures et 54 minutes pour la correspondance et des entretiens avec sa cliente (opérations des 2, 10 et 16 février, 15, 17 et 22 mars, 1 er et 7 avril 2021). Le temps consacré à ces opérations paraît excessif pour une procédure de deuxième instance. Il sera par conséquent réduit à 2 heures. On retranchera encore le courrier adressé à l’ancien conseil de l’intimée le 26 mars 2021 (18 minutes), soit après l’audience de conciliation, et l’étude du dossier du 30 mars 2021 (18 minutes), ces opérations ne paraissant pas nécessaires, dans la mesure où il n’a pas été demandé à l’intimée de déposer de réponse. Il en va de même des recherches juridiques sur les frais extraordinaires, du 8 avril 2021 (12 minutes). Partant, l'indemnité de Me Jaques doit être fixée à 1'152 fr. au tarif horaire de 180 fr., correspondant à 6 heures et 24 minutes de travail, indemnité à laquelle s'ajoutent le forfait de vacation par 120 fr. (art. 3bis al. 3 RAJ), les débours par 23 fr. 05 (art. 3bis al. 1 RAJ) et la TVA sur le tout par 99 fr. 70, soit 1'394 fr. 75 au total, montant arrondi à 1'395 francs. 4.4 Les bénéficiaires de l'assistance judiciaire sont, dans la mesure de l'art. 123 CPC, tenus au remboursement de l'indemnité de leur conseil d'office et des frais judiciaires, provisoirement laissés à la charge de l'Etat.</w:t>
      </w:r>
    </w:p>
    <w:p>
      <w:r>
        <w:rPr>
          <w:b/>
        </w:rPr>
        <w:t>E. 7</w:t>
      </w:r>
    </w:p>
    <w:p>
      <w:r>
        <w:t>e éd., Bâle 2019, n° 18 ad art. 24 CO). La partie qui veut invalider le contrat doit avoir cru à tort qu'un fait futur était certain, et l'autre partie devait de bonne foi reconnaître que la certitude constituait un élément essentiel du contrat (ATF 118 II 297 consid. 3b ; ATF 117 II 218 consid. 4 ; TF 4A_286/2018 du 5 décembre 2018 consid. 4.1). Encore faut-il que le fait futur ait objectivement pu être considéré comme certain au moment de la conclusion du contrat (TF 4A_286/2018 précité consid. 4.1 ; TF 4A_641/2010 du 23 février 2011 consid. 3.5.1 ; TF 4A_279/2007 du 15 octobre 2007 consid. 4.1 ; cf. aussi Schmidlin, Der Irrtum über zukünftige Sachverhalte nach Art. 24 Abs. 1 Ziff. 4 OR : Fehldiagnose oder Fehlprognose, in PJA 1992 p. 1388 s.). Des expectatives déçues, des attentes exagérées, des spéculations quant à un changement de cours des papiers-valeurs, ou quant à un changement de pratique d'autorisation ne sauraient permettre d'invalider le contrat (ATF 109 II 105 consid. 4b/aa ; TF 4A_286/2018 précité consid. 4.1) ; la faculté d'invoquer l'erreur sur des faits futurs ne saurait vider de sa substance le principe selon lequel chaque partie doit supporter le risque de développements futurs inattendus (TF 4A_286/2018 précité consid. 4.1 ; TF 4C.34/2000 du 24 avril 2001 consid. 3c/bb).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