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44 vom 26. Januar 2021</w:t>
      </w:r>
    </w:p>
    <w:p>
      <w:r>
        <w:t>VD Tribunal cantonal, 2021-01-26, FR</w:t>
      </w:r>
    </w:p>
    <w:p>
      <w:r>
        <w:rPr>
          <w:b/>
        </w:rPr>
        <w:t xml:space="preserve">Quelle: </w:t>
      </w:r>
      <w:r>
        <w:t>https://mcp.opencaselaw.ch/entscheid/vd_findinfo_HC___2021___44</w:t>
      </w:r>
    </w:p>
    <w:p>
      <w:r>
        <w:t>FR: VD_FINDINFO HC / 2021 / 44 du 26 janvier 2021</w:t>
      </w:r>
    </w:p>
    <w:p>
      <w:r>
        <w:t>IT: VD_FINDINFO HC / 2021 / 44 del 26 gennaio 2021</w:t>
      </w:r>
    </w:p>
    <w:p>
      <w:pPr>
        <w:pStyle w:val="Heading2"/>
      </w:pPr>
      <w:r>
        <w:t>Regeste</w:t>
      </w:r>
    </w:p>
    <w:p>
      <w:r>
        <w:t>MODIFICATION DES CIRCONSTANCES, MESURE PROVISIONNELLE, OBLIGATION D'ENTRETIEN, ENFANT, LOYER, FRAIS DE LOGEMENT, ARGENT DE POCHE | 279 CC, 285 al. 2 CC, 106 al. 1 CPC (CH), 276 al. 1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de 10'000 fr. au moins,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 e éd. 2019 [cité ci-après : CR CPC], nn. 2 ss ad art. 310 CPC). Elle peut revoir librement l'appréciation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w:t>
      </w:r>
    </w:p>
    <w:p>
      <w:r>
        <w:rPr>
          <w:b/>
        </w:rPr>
        <w:t>E. 2.2</w:t>
      </w:r>
    </w:p>
    <w:p>
      <w:r>
        <w:t>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aux enfants mineurs des parties, soit la modification des contributions d’entretien en leur faveur, de sorte que la maxime inquisitoire illimitée est applicable. Les pièces nouvelles produites par les parties ne sont toutefois pas pertinentes pour la résolution du litige, comme on le verra ci-après (cf. consid. 5.2.2 ci-dessous). En outre, la fixation de l’audience requise par l’appelant n’est pas nécessaire, le juge délégué étant à même de statuer en l’état sur la base des éléments figurant au dossier.</w:t>
      </w:r>
    </w:p>
    <w:p>
      <w:r>
        <w:rPr>
          <w:b/>
        </w:rPr>
        <w:t>E. 3.1</w:t>
      </w:r>
    </w:p>
    <w:p>
      <w:r>
        <w:t>L'appelant fait d'abord grief au premier juge d'avoir considéré à tort qu’il existait des faits nouveaux, au sens de l'art. 179 CC, commandant une modification par voie de mesures provisionnelles des mesures protectrices du 8 juin 2016. Il rappelle que, pour déterminer si la situation de fait a changé depuis le prononcé des mesures protectrices dont la modification est demandée, le juge doit se placer au moment du dépôt de la requête de modification. Il soutient qu'en l'espèce, au moment du dépôt de la requête de l'intimée, le 25 mai 2020, sa situation ne différait pas sensiblement de celle qui prévalait le 8 juin 2016, date de la convention de mesures protectrices dont l'intimée requérait la modification. Selon l'appelant, le premier juge aurait dès lors dû rejeter purement et simplement la requête, sans procéder à une nouvelle fixation des contributions.</w:t>
      </w:r>
    </w:p>
    <w:p>
      <w:r>
        <w:rPr>
          <w:b/>
        </w:rPr>
        <w:t>E. 3.2.1</w:t>
      </w:r>
    </w:p>
    <w:p>
      <w:r>
        <w:t>Une fois que des mesures protectrices de l'union conjugale ou des mesures provisionnelles dans la procédure en divorce ont été ordonnées, elles ne peuvent être modifiées qu'aux conditions de l'art. 179 CC –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 TF 5A_720/2011 du 8 mars 2012 consid. 4.1.2 et réf. citées ; TF 5A_811/2012 du 18 février 2013 consid. 3.2 et réf. citées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citées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 TF 5A_154/2018 du 1 er octobre 2019 consid. 4.1).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 TF 5A_64/2018 du 14 août 2018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5A_113/2013 du 2 août 2012 consid. 3.1 ; TF 5A_33/2015 du 28 avril 2015 consid. 4.1 ; TF 5A_64/2018 du 14 août 2018 consid. 3.1).</w:t>
      </w:r>
    </w:p>
    <w:p>
      <w:r>
        <w:rPr>
          <w:b/>
        </w:rPr>
        <w:t>E. 3.2.2</w:t>
      </w:r>
    </w:p>
    <w:p>
      <w:r>
        <w:t>Il ne faut toutefois pas confondre la modification de mesures protectrices ou provisionnelles en raison d'un changement de circonstances avec la prise de nouvelles mesures protectrices ou provisionnelles après une ordonnance de mesures intermédiaires. Constituent des mesures protectrices ou provisionnelles intermédiaires celles qui sont ordonnées, en procédure contradictoire et non par voie de mesures superprovisionnelles, dans l'attente d'un fait futur aux effets encore incertains, ou dans l'attente du résultat d'une mesure d'instruction au long cours, et dont la modification selon l'effet du fait futur ou le résultat de la mesure d'instruction est d'emblée réservée (cf. Bohnet, CPra Matrimonial, 2016, n. 37 et 64 ad art. 276 CPC). Constituent également de telles mesures celles qui sont ordonnées pour une durée déterminée ou sous la réserve qu'elles seront ou pourront être revues, sans autres conditions, à compter d'un certain terme. Lorsque de telles mesures ont été ordonnées, les parties n'ont pas, une fois le terme dépassé, à justifier d'un changement de circonstances pour requérir une modification.</w:t>
      </w:r>
    </w:p>
    <w:p>
      <w:r>
        <w:rPr>
          <w:b/>
        </w:rPr>
        <w:t>E. 3.3</w:t>
      </w:r>
    </w:p>
    <w:p>
      <w:r>
        <w:t>Dans le cas d’espèce, les parties ont conclu une convention de mesures protectrices de l'union conjugale qui a été ratifiée le 8 juin 2016. Cette convention prévoyait la suppression des contributions d’entretien de l’appelant envers les siens, l’appelant s’engageant à renseigner l’intimée sur toute modification de ses revenus ; il était également convenu de ce que « dans tous les cas, la situation sera[it] revue au mois d’octobre 2016 ». La convention réservait ainsi la possibilité d'une modification, sans autres conditions, à partir du mois d'octobre 2016. C'est dès lors à bon droit que le premier juge, saisi d'une requête de mesures provisionnelles le 25 mai 2020, a procédé à une nouvelle fixation des contributions d'entretien. Le grief de l'appelant est mal fondé.</w:t>
      </w:r>
    </w:p>
    <w:p>
      <w:r>
        <w:rPr>
          <w:b/>
        </w:rPr>
        <w:t>E. 4.1</w:t>
      </w:r>
    </w:p>
    <w:p>
      <w:r>
        <w:t>L’appelant conteste le coût d’entretien des enfants, en particulier l’argent de poche et la part au loyer de l’intimée. Il fait grief au premier juge d’avoir ajouté par le biais du poste « argent de poche » un montant forfaitaire qui ne correspondrait pas à des dépenses effectives et prouvées. Il se prévaut en outre de la situation financière extrêmement précaire des parties, en vertu de laquelle un tel poste ne pourrait de toute manière pas être admis. S’agissant de la part des enfants aux frais de logement de l’intimée, l’appelant soutient qu’elle aurait été surévaluée, au motif que celle-ci utiliserait une pièce de son appartement pour exercer son activité professionnelle indépendante de coiffeuse. Pour ces motifs, une part correspondant à 20 % de la charge de loyer de l’appartement constituerait en réalité des frais professionnels, auxquels les enfants ne seraient pas tenus de participer.</w:t>
      </w:r>
    </w:p>
    <w:p>
      <w:r>
        <w:rPr>
          <w:b/>
        </w:rPr>
        <w:t>E. 4.2.1</w:t>
      </w:r>
    </w:p>
    <w:p>
      <w:r>
        <w:t>Aux termes de l'art. 285 al. 1 CC, la contribution d'entretien doit correspondre aux besoins de l'enfant ainsi qu'à la situation et aux ressources de ses père et mère ; il est tenu compte de la fortune et des revenus de l'enfant. Dès lors que ce sont les besoins de l'enfant – et non un quelconque train de vie effectivement mené – qui sont déterminants, il n'a pas à être rendu vraisemblable que les enfants bénéficient déjà actuellement de 50 fr. par mois d'argent de poche, ou qu'ils en ont bénéficié du temps de la vie commune des parents, pour que ce poste puisse être inclus dans le budget de l'enfant (cf. CACI 8 avril 2019/186 consid. 3.3.2). Mais, pour qu'il puisse être porté dans les charges de l'enfant, encore faut-il que ce poste se justifie au regard de la situation financière des parties. Plus la situation financière des parties est serrée, plus le juge doit strictement s'en tenir au minimum vital du droit des poursuites pour évaluer les besoins, tant de l'enfant que des parents (cf., sur ce dernier point, Maier, Die konkrete Berechnung von Kinderunterhaltsbeiträgen, FamPra.ch 2020 p. 314 ss, spéc. p. 334 ; cf. aussi TF 5A_311/2019 du 11 novembre 2020, destiné à la publication, consid. 7.2).</w:t>
      </w:r>
    </w:p>
    <w:p>
      <w:r>
        <w:rPr>
          <w:b/>
        </w:rPr>
        <w:t>E. 4.2.2</w:t>
      </w:r>
    </w:p>
    <w:p>
      <w:r>
        <w:t>En l'espèce, il est certain que les enfants des parties, âgés respectivement de 16 et 14 ans, ont besoin d'avoir une vie sociale et que celle-ci a un coût. Cependant, eu égard à la situation financière très serrée de leurs parents, un tel poste ne peut pas être inclus dans leurs coûts directs. Sur ce point, l'appel doit être admis.</w:t>
      </w:r>
    </w:p>
    <w:p>
      <w:r>
        <w:rPr>
          <w:b/>
        </w:rPr>
        <w:t>E. 4.3.1</w:t>
      </w:r>
    </w:p>
    <w:p>
      <w:r>
        <w:t>Selon le Tribunal fédéral, il convient de déduire des coûts de subsistance du parent gardien la part des enfants aux coûts du logement, ceux-ci étant comptabilisés dans les besoins de ces derniers (TF 5A_464/2012 du 30 novembre 2012 consid. 4.6.3). La participation de l'enfant au logement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du 30 novembre 2012 précité). Selon le Tribunal fédéral, une participation équivalente à 15 % du loyer par enfant n'est pas arbitraire (cf. notamment TF 5A_874/2015 du 2 mars 2016 consid. 4.4 ; TF 5A_874/2015 du 2 mars 2016 consid. 4.4).</w:t>
      </w:r>
    </w:p>
    <w:p>
      <w:r>
        <w:rPr>
          <w:b/>
        </w:rPr>
        <w:t>E. 4.3.2</w:t>
      </w:r>
    </w:p>
    <w:p>
      <w:r>
        <w:t>En l’espèce, l’intimée habite avec ses deux enfants dans un appartement de trois pièces. Il est dès lors peu vraisemblable – comme le soutient l’appelant – qu'elle ait transformé l'une de ces trois pièces en un salon de coiffure permanent pour l’exercice de son activité professionnelle. C'est dès lors à bon droit que le premier juge a fixé la part de chacun des deux enfants aux frais de logement à 15 % du total du loyer, soit à 310 fr. 50 (= 15 % de 2'070 fr.). Ce grief est mal fondé.</w:t>
      </w:r>
    </w:p>
    <w:p>
      <w:r>
        <w:rPr>
          <w:b/>
        </w:rPr>
        <w:t>E. 4.4</w:t>
      </w:r>
    </w:p>
    <w:p>
      <w:r>
        <w:t>En définitive, au vu des considérants qui précèdent, le coût d’entretien de chacun des enfants se présente comme il suit : Base mensuelle selon les normes OPF 600 fr. 00 Part au loyer (15 % de 2'070 fr.) 310 fr. 50 Primes LAMaI de base (partiellement subsidiée) 34 fr. 70 Total intermédiaire              945 fr. 20 Allocations familiales - 219 fr. 50 Total 725 fr. 70 Ainsi, les chiffres II et IV de l’ordonnance attaquée, qui constatent le montant de l’entretien convenable des enfants, devront être réformés. La légère diminution du coût d’entretien des enfants n’a cependant pas d’influence sur le calcul des contributions d’entretien à la charge de l’appelant arrêtées par le premier juge à 20 fr. par enfant dans un premier temps, puis à 260 fr. chacun, dans la mesure où celles-ci sont bien inférieures à leur coût d’entretien.</w:t>
      </w:r>
    </w:p>
    <w:p>
      <w:r>
        <w:rPr>
          <w:b/>
        </w:rPr>
        <w:t>E. 5.1</w:t>
      </w:r>
    </w:p>
    <w:p>
      <w:r>
        <w:t>L’appelant fait grief au premier juge d'avoir considéré que sa charge de loyer, actuellement de 1'523 fr. par mois, n'était pas raisonnable et de l'avoir à tort réduite dès le 1 er avril 2021 à un montant hypothétique de 1'039 fr. par mois, correspondant au loyer moyen d'un appartement de deux pièces dans le canton de Vaud, au motif qu'il n'aurait pas besoin d'un appartement plus vaste, alors qu'il habite son logement actuel depuis huit ans sans que l'intimée n'en ait jamais contesté le loyer, qu'il a besoin de trois pièces pour être en mesure d'héberger décemment ses enfants lors du droit de visite, que le montant de 1'039 fr. par mois correspond au loyer moyen net sans les charges et qu'un déménagement pour prendre un appartement dont le loyer ne dépasse pas la moyenne cantonale l'obligerait à s'éloigner plus encore de Lausanne et à augmenter ses frais de transport. L’appelant se plaint également du délai à partir duquel une charge de loyer moindre est comptabilisée. Il soutient que la situation sanitaire actuelle compliquerait la possibilité de retrouver un logement et que cela l’obligerait à résilier son contrat de bail de façon extraordinaire. Dans un dernier grief concernant ses charges, l’appelant reproche au premier juge de n’avoir pas pris en compte ses frais de déplacement, correspondant à la location d’une place de parc, ni ses frais liés à l’exercice du droit de visite.</w:t>
      </w:r>
    </w:p>
    <w:p>
      <w:r>
        <w:rPr>
          <w:b/>
        </w:rPr>
        <w:t>E. 5.2.1</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 er juin 2016 consid. 4.3.1 ; TF 5A_767/2016 du 30 janvier 2017 consid. 3.1.1).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 TF 5A 748/2012 du 15 mai 2013 consid. 5.2.2 ; TF 5A 688/2013 du 14 avril 2014 consid. 6.1). Il y a lieu de fixer la pension de manière séparée pour le délai approprié d'adaptation des charges de loyer, respectivement après cette échéance (TF 5A_671/2013 du 29 juillet 2014 consid. 6.3.2). On peut cependant tenir compte des frais de logement en soi excessifs lorsque l'intéressé n'est pas en mesure de changer de logement malgré ses recherches, vu le caractère très tendu du marché immobilier et le fait qu'il est très difficile de trouver un logement lorsqu'on fait l'objet de poursuites (Juge délégué CACI 30 juillet 2013/376). Dans une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consid. 2.3.1.2, FamPra.ch 2009 p. 110 ; Juge délégué CACI 9 juillet 2015/354 ; Juge délégué 1 er mars 2018/56).</w:t>
      </w:r>
    </w:p>
    <w:p>
      <w:r>
        <w:rPr>
          <w:b/>
        </w:rPr>
        <w:t>E. 5.2.2</w:t>
      </w:r>
    </w:p>
    <w:p>
      <w:r>
        <w:t>En l’espèce, aucune des parties ne conteste la constatation du premier juge selon laquelle l'appelant exerce son droit de visite sur les enfants en journée, sans les héberger la nuit, pour se conformer à des recommandations énoncées dans un rapport d'évaluation déposé en 2012 par le SPJ – actuelle DGEJ. Il résulte au demeurant des déclarations de l’appelant lui-même à l’audience devant le premier juge que celui-ci a admis qu’il exerçait son droit de visite sous la forme de visites au domicile de l’intimée, à sa guise. On constate dès lors que les enfants ne dorment pas au domicile de l’appelant et que ce n’est d’ailleurs pas dans ce logement que le droit de visite est exercé. Il est peu probable que les enfants, âgés désormais de 16 et 14 ans, demandent à passer du temps au domicile de leur père. Partant l'appelant ne saurait justifier son choix de louer un appartement de trois pièces par l’exercice du droit de visite. Le fait que l'intimée n'a jamais contesté le montant du loyer jusqu'alors n'est pas déterminant, les conventions des parents étant inopposables aux enfants mineurs sans approbation de l'autorité (art. 287 CC). C'est dès lors à bon droit que le premier juge a considéré que les frais de logement de l'appelant devaient être réduits à ceux qui correspondent à un appartement de deux pièces. On ne saurait reprocher au premier juge d’avoir pris en compte un loyer hypothétique basé sur les chiffres de l’année 2017 des statistiques vaudoises, dans la mesure où il s’agit des données les plus récentes et qu’il est vraisemblable que ces charges n’ont pas augmenté entretemps. Le premier juge n’a certes pas ajouté de charges au montant du loyer prise en compte. Cependant, dans la situation financière serrée des parties, il ne paraît pas disproportionné d'exiger de l'appelant qu'il recherche un logement dans la fourchette basse des loyers du canton pour un total de 1'039 fr. par mois charges comprises. S’agissant du délai dont dispose l’intimé pour se constituer un nouveau logement, les considérations du premier juge justifiant de ne pas attendre le prochain terme ordinaire de résiliation du bail au 30 septembre 2021 sont convaincantes et peuvent être reprises ici. L’intimé ne versant aucune contribution à l’entretien de ses enfants, on est en droit d’attendre de lui qu’il restitue son logement de manière anticipée. L’intimé ne saurait se prévaloir à cet égard de la situation sanitaire actuelle pour bénéficier d’un nouveau sursis, une période de près de cinq mois étant suffisante à une personne seule pour faire les démarches nécessaires en vue de se constituer un nouveau logement. Dans la mesure où l’effet suspensif a été accordé à l’appel, il y a lieu de reporter la date à partir de laquelle les frais de logement de l’appelant sont réduits de la durée de la litispendance en deuxième instance et donc de retenir un loyer mensuel hypothétique de 1'039 fr. à partir du 1 er juillet 2021.</w:t>
      </w:r>
    </w:p>
    <w:p>
      <w:r>
        <w:rPr>
          <w:b/>
        </w:rPr>
        <w:t>E. 5.3.1</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Ces frais grèvent en revanche le disponible d’un époux qui utilise le véhicule pour ses loisirs, y compris pour un exercice plus commode du droit de visite des enfants (TF 5A_65/2013 du 4 septembre 2013 consid. 3.1.2). Les frais de recherche d'emploi sont pris en compte, notamment les frais de transport y relatifs (Juge délégué CACI  28 mars 2011/23). La jurisprudence de la Cour de céans retient que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 TF 5A_693/2014 du 1 er décembre 2014 consid. 3.2, FamPra.ch 2015 p. 261 ; TF 5A_565/2016 du 16 février 2017 consid. 6.3 ; TF 5A_994/2018 du 29 octobre 2019 consid. 6.5.4, FamPra.ch 2020 p. 484).</w:t>
      </w:r>
    </w:p>
    <w:p>
      <w:r>
        <w:rPr>
          <w:b/>
        </w:rPr>
        <w:t>E. 5.3.2</w:t>
      </w:r>
    </w:p>
    <w:p>
      <w:r>
        <w:t>En l’espèce, le jugement entrepris a pris en compte un montant forfaitaire de 150 fr. par mois à titre de frais de recherche d’emploi, tout en précisant que ce montant incluait les frais de déplacement. Dans la mesure où l’appelant n’allègue pas ni n’établit que l’usage d’un véhicule lui serait indispensable pour un des motifs évoqués ci-dessus (cf. consid. 5.3.1 supra ), c’est à juste titre, vu la situation financière très serrée des parties, que le premier juge n’a pas pris en compte des frais de trajet en sus du montant forfaitaire susmentionné. C’est également à bon droit que le premier juge n’a pas tenu compte de frais relatifs à l’exercice du droit de visite, dans la mesure où celui-ci n’est exercé que de façon sporadique et qu’au surplus il a lieu au domicile de l’intimée et ne saurait dès lors engendrer de frais.</w:t>
      </w:r>
    </w:p>
    <w:p>
      <w:r>
        <w:rPr>
          <w:b/>
        </w:rPr>
        <w:t>E. 5.4</w:t>
      </w:r>
    </w:p>
    <w:p>
      <w:r>
        <w:t>En définitive, le calcul du disponible de l’appelant, tel qu’effectué par le premier juge, peut être confirmé, soit un disponible de 44 fr. 80 jusqu’au 30 juin 2021, puis de 2'415 fr. 95 à partir du 1 er juillet 2021.</w:t>
      </w:r>
    </w:p>
    <w:p>
      <w:r>
        <w:rPr>
          <w:b/>
        </w:rPr>
        <w:t>E. 6.1</w:t>
      </w:r>
    </w:p>
    <w:p>
      <w:r>
        <w:t>Dans un dernier moyen, l’appelant reproche au premier juge d’avoir mis des dépens de première instance à hauteur de 2'500 fr. à sa charge, alors que les conclusions de la partie adverse auraient dû être rejetées, à tout le moins n’auraient pas été accordées dans la proportion requise.</w:t>
      </w:r>
    </w:p>
    <w:p>
      <w:r>
        <w:rPr>
          <w:b/>
        </w:rPr>
        <w:t>E. 6.2</w:t>
      </w:r>
    </w:p>
    <w:p>
      <w:r>
        <w:t>A teneur de l’art. 106 al. 1 CPC, les frais – qui comprennent selon l’art. 95 al. 1 CPC les frais judiciaires (art. 95 al. 2 CPC) et les dépens (art. 95 al. 3 CPC) – sont mis à la charge de la partie succombante. Dans l’hypothèse où chacune des parties succombe partiellement, chacune doit supporter les frais de partie – c'est-à-dire les dépens au sens de l’art. 95 al. 3 CPC – dans la mesure où elle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 assumé des frais (sur le tout : Corboz, Commentaire de la LTF, n. 42 ad art. 68 LTF). Dans les affaires familiales, l’art. 107 al. 1 let. c CPC permet cependant au juge de déroger à ces principes pour des motifs d’équité.</w:t>
      </w:r>
    </w:p>
    <w:p>
      <w:r>
        <w:rPr>
          <w:b/>
        </w:rPr>
        <w:t>E. 6.3</w:t>
      </w:r>
    </w:p>
    <w:p>
      <w:r>
        <w:t>En l’espèce, il apparaît que l’appelant a succombé en première instance sur le principe de l’entrée en matière sur la modification des conclusions, ainsi que sur le principe du versement de contributions à l’entretien de ses enfants. Mais, s’agissant des montants alloués, si l’intimée a dans un premier temps conclu au prononcé de contributions d’entretien de 1'349 fr. 50 par enfant, elle a réduit ses conclusions au paiement d’une pension mensuelle de 150 fr. par enfant, à partir du 1 er mai 2019, et elle a renoncé à toute contribution pour son propre entretien. Une telle réduction est un désistement partiel. En outre, l’intimée ne soutient pas qu’elle aurait été contrainte de procéder ainsi en raison d’un manque d’informations fiables fournies par l’appelant sur l’évolution de sa situation depuis la convention de mesures protectrices en 2016. Dans ces conditions, il y a dès lors lieu de faire droit aux conclusions de l’appelant et de réformer l’ordonnance en ce sens qu’il n’est pas alloué de dépens de première instance.</w:t>
      </w:r>
    </w:p>
    <w:p>
      <w:r>
        <w:rPr>
          <w:b/>
        </w:rPr>
        <w:t>E. 7</w:t>
      </w:r>
    </w:p>
    <w:p>
      <w:r>
        <w:t>heures et 30 minutes au dossier. Vu la nature du litige et les difficultés de la cause, il y a lieu d’admettre ce nombre d'heures. Il s'ensuit qu'au tarif horaire de 180 fr., l’indemnité d’office de Me Laurent Schuler doit être fixée à 1'350 fr., montant auquel s’ajoutent les débours par 27 fr.  (2 % de 1'350 fr.) et la TVA à 7,7 % sur le tout par 106 fr. 05, soit 1'483 fr. 05. Les bénéficiaires de l’assistance judiciaire sont, dans la mesure de l’art. 123 CPC, tenus au remboursement des frais judiciaires et de l’indemnité de leur conseil d'office provisoirement laissés à la charge de l'Etat, sous déduction pour l’intimée du montant qui aura pu être recouvré à titre de dépens.</w:t>
      </w:r>
    </w:p>
    <w:p>
      <w:r>
        <w:rPr>
          <w:b/>
        </w:rPr>
        <w:t>E. 7.1</w:t>
      </w:r>
    </w:p>
    <w:p>
      <w:r>
        <w:t>En définitive, pour les motifs qui précèdent, l’appel doit être très partiellement admis et l’ordonnance réformée aux chiffes II à V et VIII de son dispositif en ce sens que l’entretien convenable de chacun des enfants s’élève à 725 fr. 70 et qu’une contribution d’entretien mensuelle, allocations familiales non comprises et dues en sus, est due pour chacun des enfants à raison de 20 fr. jusqu’au 30 juin 2021, puis de 260 fr. dès le 1 er juillet 2021 et qu’il n’est pas alloué de dépens de première instance. L’ordonnance est confirmée pour le surplus. Ainsi, en deuxième instance, l’appelant obtient gain de cause sur un dixième de ses prétentions environ.</w:t>
      </w:r>
    </w:p>
    <w:p>
      <w:r>
        <w:rPr>
          <w:b/>
        </w:rPr>
        <w:t>E. 7.2</w:t>
      </w:r>
    </w:p>
    <w:p>
      <w:r>
        <w:t>Les frais judiciaires de deuxième instance, arrêtés à 800 fr. (art. 60 et 65 al. 2 TFJC [tarif des frais judiciaires civils du 28 septembre 2010 ; BLV 270.11.5]), sont mis à la charge de l’appelant pour 90 % et à la charge de l’intimée pour 10 % (art. 106 al. 1 CPC), mais provisoirement laissés à la charge de l’Etat pour les deux parties (art. 122 CPC).</w:t>
      </w:r>
    </w:p>
    <w:p>
      <w:r>
        <w:rPr>
          <w:b/>
        </w:rPr>
        <w:t>E. 7.3</w:t>
      </w:r>
    </w:p>
    <w:p>
      <w:r>
        <w:t>Le conseil de l’appelant a indiqué dans sa liste d'opérations avoir consacré 8 heures au dossier. Vu la nature du litige et les difficultés de la cause, il y a lieu d’admettre ce nombre d'heures. Il s'ensuit qu'au tarif horaire de 180 fr. (art. 2 al. 1 let. a et b RAJ [règlement sur l’assistance judiciaire en matière civile du 7 décembre 2010   BLV 211.02.3), l’indemnité d’office de Me Raphaël Tatti doit être fixée à 1'440 fr., montant auquel s’ajoutent les débours par 28 fr. 80 (2 % de 1'440 fr. [art. 3bis al. 1 RAJ]) et la TVA à 7,7 % sur le tout par 113 fr. 10, soit 1'581 fr. 90. Le conseil de l’intimée a indiqué dans sa liste des opérations avoir consacré</w:t>
      </w:r>
    </w:p>
    <w:p>
      <w:r>
        <w:rPr>
          <w:b/>
        </w:rPr>
        <w:t>E. 7.4</w:t>
      </w:r>
    </w:p>
    <w:p>
      <w:r>
        <w:t>L’octroi de l’assistance judiciaire ne dispense pas la partie du versement des dépens à la partie adverse (art. 122 al. 1 let. d CPC). Vu l’issue du litige, l’appelant doit verser à l’intimée des dépens légèrement réduits de deuxième instance, d’un montant de 1'500 fr. (art. 7 al. 1 TDC [tarif des dépens en matière civile du 23 novembre 2010 ; BLV 270.11.6]). Par ces motifs, Le Juge délégué de la Cour d’appel civile prononce : I. L’appel est très partiellement admis. II. L’ordonnance est réformée aux chiffres II à V et VIII de son dispositif comme il suit : « II.-              constate que le montant nécessaire au financement de l'entretien convenable de l'enfant G.________, né le [...] 2004, est de 725 fr. 70 (sept cent vingt-cinq francs et septante centimes) par mois, allocation familiale de 219 fr. 50 déduite ; III.-              dit que, dès et y compris le 1 er mai 2020, U.________ est tenu de contribuer à l'entretien de son fils G.________, né le [...] 2004, par le régulier versement, d'avance le premier de chaque mois, en mains de N.________, d'une pension de : - 20 fr. (vingt francs) jusqu'au 30 juin 2021 ; - 260 fr. (deux cent soixante francs) dès le 1 er juillet 2021, allocations familiales non comprises et dues en sus ; IV.-              constate que le montant nécessaire au financement de l'entretien convenable de l'enfant Y.________, né le [...] 2006, est de 725 fr. 70 (sept cent vingt-cinq francs et septante centimes) par mois, allocation familiale de 219 fr. 50 déduite ; V.-              dit que, dès et y compris le 1 er mai 2020, U.________ est tenu de contribuer à l'entretien de son fils Y.________, né le [...] 2006, par le régulier versement, d'avance le premier de chaque mois, en mains de N.________, d'une pension de : - 20 fr. (vingt francs) jusqu'au 30 juin 2021 ; - 260 fr. (deux cent soixante francs) dès le 1 er juillet 2021, allocations familiales non comprises et dues en sus ; VIII.-              dit qu’il n’est pas alloué de dépens ; » L’ordonnance est confirmée pour le surplus. III. L’indemnité d’office de Me Raphaël Tatti, conseil d’office de l’appelant U.________, est arrêtée à 1'581 fr. 90 (mille cinq cent huitante-et-un francs et nonante centimes), TVA et débours compris. IV. L’indemnité d’office de Me Laurent Schuler, conseil d’office de l’intimée N.________, est arrêtée à 1'483 fr. 05 (mille quatre cent huitante-trois francs et cinq centimes), TVA et débours compris. V. Les frais judiciaires de deuxième instance, arrêtés à 800 fr. (huit cents francs), sont provisoirement laissés à la charge de l’Etat, à raison de 720 fr. (sept cent vingt francs) pour l’appelant U.________ et à raison de 80 fr. (huitante francs) pour l’intimée N.________. VI. L’appelant U.________, bénéficiaire de l’assistance judiciaire est, dans la mesure de l’art. 123 CPC, tenu au remboursement de sa part des frais judiciaires provisoirement laissés à la charge de l’Etat, par 720 fr., et de l’indemnité au conseil d’office allouée à son conseil d’office, par 1'581 fr. 90 . VII. L’intimée N.________, bénéficiaire de l’assistance judiciaire est, dans la mesure de l’art. 123 CPC, tenue au remboursement de sa part des frais judiciaires provisoirement laissés à la charge de l’Etat, par 80 fr., et de l’indemnité au conseil d’office allouée à son conseil d’office, par 1'483 fr. 05, sous déduction du montant qui aura pu être recouvré à titre de dépens. VIII. U.________ doit verser à l’intimée la somme de 1'500 fr. (mille cinq cents francs) à titre de dépens de deuxième instance. IX. L’arrêt est exécutoire. Le Juge délégué : La greffière : Du Le présent arrêt, dont la rédaction a été approuvée à huis clos, est notifié en expédition complète à : ‑ Me Raphaël Tatti (pour U.________), ‑ Me Laurent Schuler (pour N.________),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