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307 vom 21. April 2021</w:t>
      </w:r>
    </w:p>
    <w:p>
      <w:r>
        <w:t>VD Tribunal cantonal, 2021-04-21, FR</w:t>
      </w:r>
    </w:p>
    <w:p>
      <w:r>
        <w:rPr>
          <w:b/>
        </w:rPr>
        <w:t xml:space="preserve">Quelle: </w:t>
      </w:r>
      <w:r>
        <w:t>https://mcp.opencaselaw.ch/entscheid/vd_findinfo_HC___2021___307</w:t>
      </w:r>
    </w:p>
    <w:p>
      <w:r>
        <w:t>FR: VD_FINDINFO HC / 2021 / 307 du 21 avril 2021</w:t>
      </w:r>
    </w:p>
    <w:p>
      <w:r>
        <w:t>IT: VD_FINDINFO HC / 2021 / 307 del 21 aprile 2021</w:t>
      </w:r>
    </w:p>
    <w:p>
      <w:pPr>
        <w:pStyle w:val="Heading2"/>
      </w:pPr>
      <w:r>
        <w:t>Regeste</w:t>
      </w:r>
    </w:p>
    <w:p>
      <w:r>
        <w:t>GARDE DE FAIT, PROTECTION DE L'UNION CONJUGALE, EMPRISONNEMENT, ENFANT | 176 al. 1 ch. 3 CC, 298 al.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w:t>
      </w:r>
    </w:p>
    <w:p>
      <w:r>
        <w:rPr>
          <w:b/>
        </w:rPr>
        <w:t>E. 1.2</w:t>
      </w:r>
    </w:p>
    <w:p>
      <w:r>
        <w:t>En l'espèce, formé en temps utile par une partie qui a un intérêt digne de protection (art. 59 al. 2 let. a CPC) et dirigé contre une ordonnance de mesures protectrices de l’union conjugale dans une cause de nature non patrimoniale,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En matière de mesures provisionnelles, la cognition du juge est toutefois limitée à la simple vraisemblance des faits et à un examen sommaire du droit (TF 5A_937/2014 du 25 mai 2016 consid. 6.2.2 ; TF 5A_863/2014 du 16 mars 2015 consid. 1.4).</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3.2</w:t>
      </w:r>
    </w:p>
    <w:p>
      <w:r>
        <w:t>En l’espèce, les pièces produites à l’appui de l’appel sont recevables, la procédure en cause étant soumise à la maxime inquisitoire illimitée.</w:t>
      </w:r>
    </w:p>
    <w:p>
      <w:r>
        <w:rPr>
          <w:b/>
        </w:rPr>
        <w:t>E. 4.1</w:t>
      </w:r>
    </w:p>
    <w:p>
      <w:r>
        <w:t>L’appelant soutient en substance que l’intimée se serait astucieusement soustraite à l’expertise pédopsychiatrique, qui lui aurait permis de remettre en cause l’ordonnance du 30 mars 2020 et de récupérer son droit de visite, voire la garde de sa fille, par la démonstration de sa capacité parentale. Selon lui, l’intimée aurait en effet abusé de la complaisance de son médecin psychiatre et des certificats médicaux avant de se rendre au Brésil avec leur enfant pour, en définitive, s’y faire soigner. Il soutient également que l’ordonnance du 30 mars 2020, qui prendrait avec ce départ un aspect définitif, se serait appuyée notamment sur un rapport faux et partial de la DGEJ et sur des mensonges du conseil de l’intimée. Il fait valoir que le seul moyen de réparer le tort moral qui lui a été causé par l’ordonnance attaquée et de maintenir un contact entre son enfant et lui-même serait d’ordonner le rapatriement de l’enfant en Suisse avec la menace de la peine pénale encourue en de refus de l’intimée et de lui transférer à lui la garde de l’enfant. Cela permettrait ainsi de commencer l’expertise pédopsychiatrique. Selon lui, cette manière de procéder lui permettrait par ailleurs d’augmenter ses chances d’entretenir des relations avec sa fille au Brésil dans l’hypothèse d’un non-retour. Il soutient par ailleurs que le développement de sa fille serait compromis et que sa sécurité ne serait pas assurée au Brésil. En définitive, le départ autorisé de l’intimée et de l’enfant au Brésil serait contraire à l’intérêt supérieur et aux droits de l’enfant, ainsi qu’à ses propres droits.</w:t>
      </w:r>
    </w:p>
    <w:p>
      <w:r>
        <w:rPr>
          <w:b/>
        </w:rPr>
        <w:t>E. 4.2</w:t>
      </w:r>
    </w:p>
    <w:p>
      <w:r>
        <w:t>et 4.3 ci-dessus). Il ne soutient d’ailleurs plus en appel que cette enfant devrait vivre durant son incarcération auprès de sa tante ou de sa grande-cousine. Quant aux allégations au sujet du développement de l’enfant et de sa sécurité, elles ne sont – à ce stade – corroborées par aucun élément au dossier. L’appelant n’allègue pas non plus qu’il collaborerait désormais avec la DGEJ, ni qu’il aurait entrepris un suivi en détention, se contentant de reprocher à cette autorité son impartialité ainsi que de qualifier son rapport de mensonger et de faux. Les pièces produites en appel ne lui sont d’aucun secours à cet égard. Compte tenu de ce qui précède et à défaut de perspectives concrètes de l’appelant sur le plan personnel à sa sortie de prison, qui contribueraient à la réalisation des conditions évoquées pour le bien de l’enfant (consid. 4.2 et 4.3), il n’y a pas lieu de donner suite – à tout le moins à ce stade – à ses conclusions qui tendent à l’attribution en sa faveur de l’autorité parentale ou de la gade sur C.________, ni à la mesure d’instruction requise consistant en la tenue d’une audience en présence de l’intimée et de C.________.</w:t>
      </w:r>
    </w:p>
    <w:p>
      <w:r>
        <w:rPr>
          <w:b/>
        </w:rPr>
        <w:t>E. 4.3</w:t>
      </w:r>
    </w:p>
    <w:p>
      <w:r>
        <w:t>Tout comme l’ordonnance du 30 mars 2020 à laquelle se réfère le premier juge, l’ordonnance attaquée n’a qu’un caractère provisoire. Or, on ne voit pas que l’appelant réaliserait en l’état les conditions nécessaires pour une attribution en sa faveur de l’autorité parentale ou de la garde dans l’intérêt supérieur de l’enfant C.________ (consid.</w:t>
      </w:r>
    </w:p>
    <w:p>
      <w:r>
        <w:rPr>
          <w:b/>
        </w:rPr>
        <w:t>E. 5</w:t>
      </w:r>
    </w:p>
    <w:p>
      <w:r>
        <w:t>Au vu de ce qui précède, l’appel, manifestement mal fondé, doit être rejeté et l’ordonnance entreprise confirmée (art. 312 al. 1 CPC). L’appelant a requis l’assistance judiciaire pour la procédure de deuxième instance. Or sa cause était dépourvue de toute chance de succès (art. 117 let. b CPC), de sorte que sa requête doit être rejetée. Il ne sera toutefois pas prélevé de frais judiciaires de deuxième instance (art. 10 TFJC [tarif des frais judiciaires en matière civile du 28 septembre 2010 ; BLV 270.11.5]) ; dans cette mesure, la requête d’assistance judiciaire est sans objet. L’intimée n’ayant pas été invitée à se déterminer, il n’y a pas lieu à l’allocation de dépens. Par ces motifs, la juge déléguée de la Cour d’appel civile prononce : I. L’appel est rejeté dans la mesure où il est recevable. II. L’ordonnance est confirmée. III. La requête d’assistance judiciaire de l’appelant A.________ est rejetée en tant qu’elle n’est pas sans objet. IV. Il n’est pas perçu de frais judiciaires de deuxième instance. V. L’arrêt est exécutoire. La juge déléguée : La greffière : Du Le présent arrêt, dont la rédaction a été approuvée à huis clos, est notifié à : ‑ M. A.________ ‑ Me Jérôme Campart (pour B.________) et communiqué, par l'envoi de photocopies, à : ‑ M. le Président du Tribunal civil de l’arrondissement de Lausanne - Me Aurore Estoppey - DGEJ, ORPM-Centre.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