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279 vom 19. April 2021</w:t>
      </w:r>
    </w:p>
    <w:p>
      <w:r>
        <w:t>VD Tribunal cantonal, 2021-04-19, FR</w:t>
      </w:r>
    </w:p>
    <w:p>
      <w:r>
        <w:rPr>
          <w:b/>
        </w:rPr>
        <w:t xml:space="preserve">Quelle: </w:t>
      </w:r>
      <w:r>
        <w:t>https://mcp.opencaselaw.ch/entscheid/vd_findinfo_HC___2021___279</w:t>
      </w:r>
    </w:p>
    <w:p>
      <w:r>
        <w:t>FR: VD_FINDINFO HC / 2021 / 279 du 19 avril 2021</w:t>
      </w:r>
    </w:p>
    <w:p>
      <w:r>
        <w:t>IT: VD_FINDINFO HC / 2021 / 279 del 19 aprile 2021</w:t>
      </w:r>
    </w:p>
    <w:p>
      <w:pPr>
        <w:pStyle w:val="Heading2"/>
      </w:pPr>
      <w:r>
        <w:t>Regeste</w:t>
      </w:r>
    </w:p>
    <w:p>
      <w:r>
        <w:t>MODIFICATION DES CIRCONSTANCES, INCAPACITÉ DE TRAVAIL, REVENU HYPOTHÉTIQUE, INVALIDITÉ{INFIRMITÉ}, FRAIS JUDICIAIRES, DÉPENS, OBLIGATION D'ENTRETIEN | 179 al. 1 CC, 285 al. 1 CC, 8 al. 1 LACI, 104 al. 3 CPC (CH), 107 al. 1 let. c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w:t>
      </w:r>
    </w:p>
    <w:p>
      <w:r>
        <w:t>e éd., Bâle 2019, n. 6 ad art. 272 CPC ; Bohnet, op. cit., nn. 29 ss ad art. 276 CPC). La contribution due à l'entretien d'un enfant est notamment soumise à la maxime d'office (ATF 129 III 417 consid. 2.1.2 ; ATF 128 III 411 consid. 3.2.2 et les réf. cit.), ce qui a pour conséquence que le juge n'est pas lié par les conclusions des parents à cet égard (TF 5A_420/2016 du 7 février 2017 consid. 2.2 ; TF 5A_704/2013 du 15 mai 2014 consid. 3.4, non publié in ATF 140 III 231).</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 8 mai 2012 consid. 4.2 ; Juge délégué CACI 20 février 2015/136 consid. 3 ; Tappy, Commentaire romand, Code de procédure civile,</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 cit.).</w:t>
      </w:r>
    </w:p>
    <w:p>
      <w:r>
        <w:rPr>
          <w:b/>
        </w:rPr>
        <w:t>E. 2.3.2</w:t>
      </w:r>
    </w:p>
    <w:p>
      <w:r>
        <w:t>En l’espèce, le litige porte sur l’entretien de l’enfant mineur des parties, de sorte que les pièces produites par l’appelante sont recevables, étant de surcroît relevé que la quasi-totalité d’entre elles figurait déjà au dossier de première instance.</w:t>
      </w:r>
    </w:p>
    <w:p>
      <w:r>
        <w:rPr>
          <w:b/>
        </w:rPr>
        <w:t>E. 3.1</w:t>
      </w:r>
    </w:p>
    <w:p>
      <w:r>
        <w:t>L’appelante conteste en premier lieu la suppression de la contribution d’entretien en faveur de l’enfant. Elle considère qu’aucun fait nouveau ne justifierait de revoir la situation financière des parties puisque l’intimé se trouvait déjà en incapacité de travail à 100% en 2016 et donc que rien n’a changé depuis lors.</w:t>
      </w:r>
    </w:p>
    <w:p>
      <w:r>
        <w:rPr>
          <w:b/>
        </w:rPr>
        <w:t>E. 3.2</w:t>
      </w:r>
    </w:p>
    <w:p>
      <w:r>
        <w:t>Aux termes de l’art. 179 al. 1 CC, à la requête d’un époux, le juge ordonne les modifications commandées par les faits nouveaux et lève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notamment si un changement significatif et non temporaire est survenu postérieurement à la date à laquelle la décision a été rendue (ATF 143 III 617 consid. 3.1;  ATF 141 III 376 consid. 3.3.1 ; ATF 129 III 60 consid. 2).</w:t>
      </w:r>
    </w:p>
    <w:p>
      <w:r>
        <w:rPr>
          <w:b/>
        </w:rPr>
        <w:t>E. 3.3</w:t>
      </w:r>
    </w:p>
    <w:p>
      <w:r>
        <w:t>En l’espèce, l’argument n’est pas fondé. D’abord, le régime actuel ne date pas de 2016, mais d’une convention signée lors d’une audience du 12 juin 2018. Il ressort en outre de la demande unilatérale en divorce déposée le 27 avril 2018 que l’intimé alléguait alors qu’il travaillait comme étancheur pour un salaire mensuel net de 4'875 fr. par mois. Il est donc faux d’affirmer que l’appelant a été de tout temps en incapacité de travail depuis 2016 et que rien n’a changé. Au contraire, le fait que l’intimé soit désormais en incapacité de travail et émarge à l’aide sociale constitue un changement notable des circonstances, qui dure depuis plusieurs mois.</w:t>
      </w:r>
    </w:p>
    <w:p>
      <w:r>
        <w:rPr>
          <w:b/>
        </w:rPr>
        <w:t>E. 4.1</w:t>
      </w:r>
    </w:p>
    <w:p>
      <w:r>
        <w:t>Dans un deuxième moyen, l’appelante se plaint non seulement d’une violation de la maxime d’office, mais reproche également au premier juge d’avoir refusé d’imputer un revenu hypothétique à l’intimé. Selon elle, le président aurait dû examiner la possibilité pour son époux d’accéder à l’assurance chômage et investiguer les causes du refus d’une rente de l’assurance invalidité.</w:t>
      </w:r>
    </w:p>
    <w:p>
      <w:r>
        <w:rPr>
          <w:b/>
        </w:rPr>
        <w:t>E. 4.2</w:t>
      </w:r>
    </w:p>
    <w:p>
      <w:r>
        <w:t>L’assuré n’a droit à l’indemnité de chômage que s’il est apte au placement (art. 8 al. 1 let. f LACI [loi du 25 juin 1982 sur l’assurance-chômage ; RS 837.0]). En l’espèce, l’intimé a produit des certificats d’incapacité de travail et a prouvé qu’il avait été hospitalisé pendant plus de quatre mois. Son inaptitude au placement est ainsi avérée et on ne voit pas ce que le premier juge aurait encore dû instruire à ce sujet. Le fait que l’intimé n’ait pas perçu de rente de l’assurance invalidité n’est pas déterminant. En effet, dans l’examen de l’imputation d’un revenu hypothétique, le caractère inexigible de l’exercice d’une activité lucrative pour des raisons de santé n’est pas subordonné à ce que les conditions d’obtention d’une rente d’invalidité soient remplies (TF 5A_726/2011 du 11 janvier 2017 consid. 4.1 ; TF 5A_360/2016 du 27 octobre 2016 consid. 4.1 in fine ; TF 5A_888/2013 du 20 mai 2014 consid. 3.1). En outre, toute incapacité de travail, même médicalement attestée, ne doit pas encore droit à une rente d’assurance invalidité (TF 5A_455/2019 du 23 juin 2020 consid. 5). Dans ces circonstances, le premier juge pouvait à bon droit s’estimer suffisamment renseigné sans avoir à procéder à des investigations complémentaires après de l’office de l’assurance invalidité. Pour le surplus, l’appelante n’apporte aucun élément permettant de douter de la véracité des certificats médicaux produits.</w:t>
      </w:r>
    </w:p>
    <w:p>
      <w:r>
        <w:rPr>
          <w:b/>
        </w:rPr>
        <w:t>E. 4.3.1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 ATF 140 III 337 consid. 4.3 et les réf. cit.).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les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5A_1046/2018 du 3 mai 2019 consid. 4.3 et les réf. cit. ; TF 5A_946/2018 précité consid. 3.1 et les réf. cit.).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 ; ATF 137 III 102 consid. 4.2.2.2 ; TF 5A_554/2017 du 20 septembre 2017 consid. 3.2 ; TF 5A_806/2016 du 22 février 2017 consid. 4.1 et les réf. cit.).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(TF 5A_311/2019 du 11 novembre 2020 consid. 3.2, destiné à la publication).</w:t>
      </w:r>
    </w:p>
    <w:p>
      <w:r>
        <w:rPr>
          <w:b/>
        </w:rPr>
        <w:t>E. 4.3.2</w:t>
      </w:r>
    </w:p>
    <w:p>
      <w:r>
        <w:t>En l’espèce, l’exercice, par l’intimé, d’une activité professionnelle n’est ni exigible ni possible. C’est donc à bon droit que le premier juge a constaté que les conditions permettant de retenu un revenu hypothétique n’étaient pas réunies.</w:t>
      </w:r>
    </w:p>
    <w:p>
      <w:r>
        <w:rPr>
          <w:b/>
        </w:rPr>
        <w:t>E. 5.1</w:t>
      </w:r>
    </w:p>
    <w:p>
      <w:r>
        <w:t>L’appelante critique ensuite la répartition des frais et dépens selon l’art. 106 CPC et soutient que l’autorité de première instance aurait dû soit renoncer à la répartition et dire que les frais et dépens suivraient le sort de la cause au fond, soit renoncer à l’allocation de dépens en équité, sur la base de l’art. 107 CPC.</w:t>
      </w:r>
    </w:p>
    <w:p>
      <w:r>
        <w:rPr>
          <w:b/>
        </w:rPr>
        <w:t>E. 5.2</w:t>
      </w:r>
    </w:p>
    <w:p>
      <w:r>
        <w:t>En l’espèce, on doit en premier lieu constater que l’intimé concluait à la suppression de la contribution d’entretien, alors que l’appelante concluait au rejet de la requête. L’ordonnance querellée n’a certes pas supprimé la contribution d’entretien, mais l’a suspendue. On doit quand même considérer que l’appelante a entièrement succombé.</w:t>
      </w:r>
    </w:p>
    <w:p>
      <w:r>
        <w:rPr>
          <w:b/>
        </w:rPr>
        <w:t>E. 5.3</w:t>
      </w:r>
    </w:p>
    <w:p>
      <w:r>
        <w:t>L’art. 104 al. 3 CPC, permettant au juge de renvoyer la décision sur les frais des mesures provisionnelles à la décision finale, n’est qu’une possibilité. S’il peut parfois être opportun, lorsque les mesures provisionnelles sont accordées, de laisser les frais et dépens de la procédure provisionnelle suivre le sort du procès au fond, comme le soutient l’appelante, il ne s’agit pas d’une règle impérative. L’appelante ne cite par ailleurs aucun motif pour lequel une pareille solution s’imposerait dans le cas d’espèce.</w:t>
      </w:r>
    </w:p>
    <w:p>
      <w:r>
        <w:rPr>
          <w:b/>
        </w:rPr>
        <w:t>E. 5.4</w:t>
      </w:r>
    </w:p>
    <w:p>
      <w:r>
        <w:t>Il résulte du texte clair de l’art. 107 CPC que cette disposition est de nature potestative (ATF 139 III 358 consid. 3 ; TF 5A_140/2019 du 5 juillet 2019 consid. 5.1.2). Le tribunal n’est donc en principe jamais contraint de l’appliquer. Il pourra toujours examiner, par exemple dans les cas où l’art. 107 CPC est applicable en raison de la nature de la cause, dans quelle mesure une partie succombe pour fonder la répartition des frais judiciaires et des dépens (Tappy, Commentaire romand Code de procédure civile, 2 e éd., Bâle 2019 [ci-après : CR-CPC], n. 4 ad. art. 107 CPC). L’art. 107 al. 1 CPC représente en effet une exception au principe de l’art. 106 al. 1 CPC : il doit être appliqué restrictivement, c’est-à-dire seulement en présence de circonstances particulières et ne doit pas avoir pour conséquence de vider le principe de son contenu (ATF 143 III 106 consid. 4.2.5). La répartition en équité de l’art. 107 CPC relève du droit. Elle peut être librement revue par les juridictions supérieurs, tant dans le cadre d’un appel que d’un recours ou encore d’un recours en matière civile selon la LTF (loi du 17 juin 2005 sur le Tribunal fédéral ; RS 173.110). Comme l’art. 107 CPC accorde une grande marge de manœuvre au juge, la juridiction supérieure ne substitue cependant qu’avec retenue sa propre appréciation à celle de l’autorité inférieure (Tappy, CR-CPC, n. 6 ad art. 107 CPC).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op. cit. consid. 5.1.3).</w:t>
      </w:r>
    </w:p>
    <w:p>
      <w:r>
        <w:rPr>
          <w:b/>
        </w:rPr>
        <w:t>E. 5.5</w:t>
      </w:r>
    </w:p>
    <w:p>
      <w:r>
        <w:t>En l’espèce, l’appelante estime que le premier juge aurait dû tenir compte de son dénuement. On peut en premier lieu observer que l’intimé ne paraît pas beaucoup mieux loti. Mais surtout, le premier juge n’était pas tenu d’appliquer l’art. 107 CPC et l’appelant ne cite aucun argument qui révélerait que la répartition sur la base de l’art. 106 CPC opérée dans l’ordonnance litigeuse relèverait d’une violation de la loi ou d’un abus du pouvoir d’appréciation.</w:t>
      </w:r>
    </w:p>
    <w:p>
      <w:r>
        <w:rPr>
          <w:b/>
        </w:rPr>
        <w:t>E. 5.6</w:t>
      </w:r>
    </w:p>
    <w:p>
      <w:r>
        <w:t>Le montant des dépens ne prête pas non plus le flanc à la critique. Il se situe largement au bas de la fourchette du tarif des dépens en matière civile (TDC du 23 novembre 2010 ; BLV 270.11.6]). Les opérations du mandataire de l’intimé ne se résument en outre pas seulement à une page de rédaction et une heure d’audience. Celui-ci a aussi dû s’entretenir avec son client avant l’envoi de la requête, réunir les titres nécessaires, préparer l’audience avec le client, etc. Le montant retenu ne consacre aucun abus du pouvoir d’appréciation. Partant, les griefs de l’appelante en lien avec les frais et dépens de première instance sont également infondés.</w:t>
      </w:r>
    </w:p>
    <w:p>
      <w:r>
        <w:rPr>
          <w:b/>
        </w:rPr>
        <w:t>E. 6</w:t>
      </w:r>
    </w:p>
    <w:p>
      <w:r>
        <w:t>Compte tenu de ce qui précède, l’appel doit être rejeté conformément à l’art. 312 al. 1 in fine CPC et l’ordonnance entreprise doit être confirmée. Dès lors que l’appel de J.________ était d’emblée dépourvu de chances de succès, la demande d’assistance judiciaire présentée par celle-ci doit être rejetée (art. 117 let. b CPC ; cf. not. Juge délégué CACI 13 février 2018/90 ; CACI 5 septembre 2014/450 consid. 5). Les frais judiciaires de deuxième instance, arrêtés à 600 fr. (art. 65 al. 2 TFJC [tarif des frais judiciaires civils du 28 septembre 2010 ; BLV 270.11.5]), doivent être mis à la charge de l’appelante, qui succombe (art. 106 al. 1 CPC). Il n’y a pas matière à l’allocation de dépens, l’intimé n’ayant pas été invité à se déterminer. Par ces motifs, le Juge délégué de la Cour d’appel civile prononce : I. L’appel est rejeté, dans la mesure où il est recevable. II. L’ordonnance est confirmée. III. La requête d’assistance judiciaire de l’appelante J.________ est rejetée IV. Les frais judiciaires de deuxième instance, arrêtés à 600 fr. (six cents francs), sont mis à la charge de l’appelante J.________. V. L’arrêt est exécutoire. Le juge délégué : La greffière : Du Le présent arrêt, dont la rédaction a été approuvée à huis clos, est notifié en expédition complète à : ‑ Me Pierre-Alain Killias (pour J.________), ‑ Me Jean-Marc Courvoisier (pour F.________), - l’Etat de Vaud, représenté par le Bureau de recouvrement et d’avances de pensions alimentaires (BRAPA),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