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269 vom 1. April 2021</w:t>
      </w:r>
    </w:p>
    <w:p>
      <w:r>
        <w:t>VD Tribunal cantonal, 2021-04-01, FR</w:t>
      </w:r>
    </w:p>
    <w:p>
      <w:r>
        <w:rPr>
          <w:b/>
        </w:rPr>
        <w:t xml:space="preserve">Quelle: </w:t>
      </w:r>
      <w:r>
        <w:t>https://mcp.opencaselaw.ch/entscheid/vd_findinfo_HC___2021___269</w:t>
      </w:r>
    </w:p>
    <w:p>
      <w:r>
        <w:t>FR: VD_FINDINFO HC / 2021 / 269 du 1 avril 2021</w:t>
      </w:r>
    </w:p>
    <w:p>
      <w:r>
        <w:t>IT: VD_FINDINFO HC / 2021 / 269 del 1 aprile 2021</w:t>
      </w:r>
    </w:p>
    <w:p>
      <w:pPr>
        <w:pStyle w:val="Heading2"/>
      </w:pPr>
      <w:r>
        <w:t>Regeste</w:t>
      </w:r>
    </w:p>
    <w:p>
      <w:r>
        <w:t>EFFET SUSPENSIF, ADMISSION PARTIELLE, OBLIGATION D'ENTRETIEN, DROIT À DES CONDITIONS MINIMALES D'EXISTENCE | 315 al. 4 let. b CPC (CH), 315 al. 5 CPC (CH)</w:t>
      </w:r>
    </w:p>
    <w:p>
      <w:pPr>
        <w:pStyle w:val="Heading2"/>
      </w:pPr>
      <w:r>
        <w:t>Erwägungen</w:t>
      </w:r>
    </w:p>
    <w:p>
      <w:r>
        <w:rPr>
          <w:b/>
        </w:rPr>
        <w:t>E. 1</w:t>
      </w:r>
    </w:p>
    <w:p>
      <w:r>
        <w:t>er avril 2021 ________________________________ Composition :               M. Oulevey , juge délégué Greffière :              Mme Bannenberg ***** Art. 315 al. 4 let. b et al. 5 CPC Statuant sur la requête présentée par A.X.________ , à [...], tendant à l’octroi de l’effet suspensif à l’appel qu’il a interjeté contre l’ordonnance de mesures protectrices de l’union conjugale rendue le 10 mars 2021 par la Présidente du Tribunal civil de l’arrondissement de Lausanne dans la cause le divisant d’avec V.________ , à [...], le Juge délégué de la Cour d’appel civile du Tribunal cantonal considère : En fait et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