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262 vom 10. März 2021</w:t>
      </w:r>
    </w:p>
    <w:p>
      <w:r>
        <w:t>VD Tribunal cantonal, 2021-03-10, FR</w:t>
      </w:r>
    </w:p>
    <w:p>
      <w:r>
        <w:rPr>
          <w:b/>
        </w:rPr>
        <w:t xml:space="preserve">Quelle: </w:t>
      </w:r>
      <w:r>
        <w:t>https://mcp.opencaselaw.ch/entscheid/vd_findinfo_HC___2021___262</w:t>
      </w:r>
    </w:p>
    <w:p>
      <w:r>
        <w:t>FR: VD_FINDINFO HC / 2021 / 262 du 10 mars 2021</w:t>
      </w:r>
    </w:p>
    <w:p>
      <w:r>
        <w:t>IT: VD_FINDINFO HC / 2021 / 262 del 10 marzo 2021</w:t>
      </w:r>
    </w:p>
    <w:p>
      <w:pPr>
        <w:pStyle w:val="Heading2"/>
      </w:pPr>
      <w:r>
        <w:t>Regeste</w:t>
      </w:r>
    </w:p>
    <w:p>
      <w:r>
        <w:t>MESURE PROVISIONNELLE, POURSUITE POUR DETTES, SUSPENSION DE LA PROCÉDURE, PREUVE FACILITÉE | 267 al. 1 CO, 267a CO, 85a al. 1 LP</w:t>
      </w:r>
    </w:p>
    <w:p>
      <w:pPr>
        <w:pStyle w:val="Heading2"/>
      </w:pPr>
      <w:r>
        <w:t>Erwägungen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doit être interjeté dans les dix jours lorsque le litige est soumis à la procédure sommaire (art. 321 al. 2 CPC), laquelle est applicable aux mesures provisionnelles (art. 248 let. d CPC).</w:t>
      </w:r>
    </w:p>
    <w:p>
      <w:r>
        <w:rPr>
          <w:b/>
        </w:rPr>
        <w:t>E. 1.2</w:t>
      </w:r>
    </w:p>
    <w:p>
      <w:r>
        <w:t>En l'espèce, la recourante a déposé en première instance une requête de mesures provisionnelles fondée sur l'art. 85a LP (loi sur la poursuite pour dettes et la faillite du 11 avril 1889 ; RS 281.1), dont la valeur litigieuse est de 2'434 fr., soit le total des différentes créances en capital indiquées dans la poursuite, de sorte que la voie du recours est ouverte. La recourante se prévaut d'un délai de recours de trente jours en se fondant sur l'art. 321 al. 1 CPC, la cause au fond pendante devant le Tribunal des baux étant soumise à la procédure simplifiée. Elle perd toutefois de vue qu'elle recourt contre une ordonnance de mesures provisionnelles, régie par la procédure sommaire, si bien que le délai pour l'introduction du recours est de dix jours. Dès lors que l'ordonnance a été notifiée le lundi 1 er février 2021, le recours – interjeté le 10 février 2021 – l’a été en temps utile. Formé par une partie qui y a un intérêt digne de protection (art. 59 al. 2 let. a CPC) et dûment motivé (art. 321 al. 1 CPC), le recours est en conséquence recevable.</w:t>
      </w:r>
    </w:p>
    <w:p>
      <w:r>
        <w:rPr>
          <w:b/>
        </w:rPr>
        <w:t>E. 2</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 recourante reproche au premier juge de ne pas avoir procédé, lors de l’examen des conditions d’octroi des mesures provisionnelles, à une pesée correcte des intérêts en présence et d’avoir considéré qu’un avis des défauts valable lui avait été signifié lors de l’état des lieux de sortie.</w:t>
      </w:r>
    </w:p>
    <w:p>
      <w:r>
        <w:rPr>
          <w:b/>
        </w:rPr>
        <w:t>E. 3.2.1</w:t>
      </w:r>
    </w:p>
    <w:p>
      <w:r>
        <w:t>A teneur de l'art. 85a al. 1 LP, le débiteur poursuivi peut agir en tout temps au for de la poursuite, selon la procédure ordinaire ou simplifiée, pour faire constater que la dette n'existe pas ou plus ou qu'un sursis a été accordé. Cette action a une double nature. A l'instar de l'action en libération de dette, elle est d'une part une action de droit matériel visant la constatation de l'inexistence de la créance ou l'octroi d'un sursis ; d'autre part, elle a, comme l'art. 85 LP, un effet de droit des poursuites, en ceci que le juge qui admet l'action ordonne l'annulation ou la suspension de la poursuite (ATF 132 III 89 consid. 1.1 ; ATF 125 III 149 consid. 2c, JdT 1999 II 67). Cette action est toutefois subsidiaire en ce sens qu'elle ne peut être exercée que dans certaines hypothèses particulières, ainsi notamment, lorsque le débiteur a laissé s'écouler sans agir le délai pour introduire l'action dite en libération de dette (Gilliéron, Commentaire de la LP, Lausanne 1999, n. 20 ad art. 85 LP et n. 30 ad art. 85a LP ; Stoffel/Chabloz, Voies d'exécution, 2 e éd., Berne 2010, n. 175, p. 133). L'action de l'art. 85a al. 1 LP ne peut pas, contrairement à la lettre de cette disposition, être exercée en tout temps, mais uniquement après que l'opposition a été définitivement écartée et jusqu'à la distribution des deniers, respectivement jusqu'à l'ouverture de la faillite (ATF 125 III 149 consid. 2c, JdT 1999 II 67 ; Stoffel/Chabloz, op. cit., n. 183, p. 135).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in Commentaire romand, Bâle 2005, n. 7 ad art. 85a LP), lequel annulera la poursuite si la créance est inexistante et la suspendra si un sursis a été octroyé.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2008/27 consid. la ; Reeb, La suspension provisoire de la poursuite selon l'art. 85a al. 2 LP, in Schuldbetreibung und Konkurs im Wandel Festschrift 75 Jahre Konferenz der Betreibungs- und Konkursbeamten der Schweiz, pp. 273 ss, p. 277 ; Gilliéron, op. cit., n. 73 ad art. 85a LP ; dans le même sens TF 5P.69/2003 du 4 avril 2003 consid. 5.3). Le droit à la suspension n'est toutefois pas inconditionnel, le juge n'ordonnant la suspension provisoire que si la demande en annulation ou en suspension de la poursuite de l'art. 85a al. 1 LP est très vraisemblablement fondée (TF 4A_580/2019 du 16 avril 2020 consid. 3.1 ; 5A_473/2012 du 17 août 2012 consid. 1.1 ; 5P.69/2003, précité, consid. 5.3.1 et les références citées). Cette condition n'est réalisée que lorsque les chances de gagner le procès sont nettement plus élevées pour le poursuivi que pour le poursuivant (TF 4A_580/2019, précité, consid. 3.1 « "Sehr wahrscheinlich begründet" bedeute, dass die Prozesschancen des Schuldners als deutlich besser erscheinen müssten als jene des Gläubigers ») (sur le tout : TF 4A_286/2020 consid 3.1 du 25 août 2020).</w:t>
      </w:r>
    </w:p>
    <w:p>
      <w:r>
        <w:rPr>
          <w:b/>
        </w:rPr>
        <w:t>E. 3.2.2</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(Burkalter/Martinez-Favre, Le droit suisse du bail à loyer, Commentaire SVIT, 2011, n° 35b ad art. 267-267a CO ; Lachat, Le bail à loyer, 2008, p. 806 n° 4.3 ; Higi, Zürcher Kommentar, 4 e éd. 1995, n°s 26-30 ad art. 267a CO ; TF 4A_545/2011 du 11 janvier 2012 consid. 3.2).</w:t>
      </w:r>
    </w:p>
    <w:p>
      <w:r>
        <w:rPr>
          <w:b/>
        </w:rPr>
        <w:t>E. 3.3</w:t>
      </w:r>
    </w:p>
    <w:p>
      <w:r>
        <w:t>En l'espèce, la demande au fond a été déposée par la recourante pour valider les mesures provisionnelles en date du 7 octobre 2020. Le premier juge a refusé la suspension provisoire pour le motif que les créances de l'intimée contre la recourante, déduites en poursuite, paraissaient fondées, soit 350 fr. de frais de nettoyage, 150 fr. de frais d'électricité, 441 fr. pour le remplacement d'une poubelle et 1'493 fr. pour des travaux de réfection d'une douche. La recourante ne semble contester que les deux dernières créances en leur opposant des arguments juridiques, soit que l'état des lieux de sortie ne chiffre pas les dégâts énoncés, qu'il serait également trop imprécis et insuffisamment détaillé pour engager la responsabilité du locataire (art. 267a CO) et que le locataire n'aurait pas eu la possibilité jusqu'à l'expiration du bail de réparer lui-même les défauts ou de les faire réparer par une entreprise de son choix. L'état des lieux de sortie a été établi le 30 juin 2019, date d'expiration du bail, si bien que la recourante aurait pu se préoccuper auparavant de remédier aux défauts à ses frais, soit réduire le dommage, ce qu'elle n'a pas entrepris. Cet état des lieux fait mention des dégâts invoqués par l’intimée en ce qui concerne la cuisine (« poubelle cassée ») et la salle d’eau ( « porte de douche cassée, ne ferme pas »). Dépourvu d'ambiguïté, il répond aux exigences de l'art. 267a CO, la recourante ne contestant d’ailleurs pas le constat du premier juge selon lequel la signataire de l’état des lieux a admis la responsabilité du locataire et ne se plaint que de la quotité des frais de remise en état de la douche. En conséquence, c’est à juste titre que l’autorité intimée a considéré que l’état des lieux de sortie valait avis des défauts. Compte tenu de ce qui précède, les chances de la poursuivante de gagner le procès apparaissent, sous l'angle de la vraisemblance, nettement plus élevées que celles du poursuivi, si bien que la décision refusant la suspension provisoire de la poursuite doit être confirmée et le recours rejeté.</w:t>
      </w:r>
    </w:p>
    <w:p>
      <w:r>
        <w:rPr>
          <w:b/>
        </w:rPr>
        <w:t>E. 4</w:t>
      </w:r>
    </w:p>
    <w:p>
      <w:r>
        <w:t>Il s’ensuit que le recours, manifestement mal fondé, doit être rejeté selon le mode procédural de l’art. 322 al. 1 CPC et l’ordonnance confirmée. Les frais judiciaires de deuxième instance, arrêtés à 100 fr. (art. 69 al. 1 TFJC [tarif des frais judiciaires civils du 28 septembre 2010 ; BLV 270.11.5]), seront mis à la charge de la recourante, qui succombe (art. 106 al. 1 CPC). Il n’y a pas matière à l’allocation de dépens de deuxième instance, l’intimée n’ayant pas été invitée à déposer une réponse. Par ces motifs, la Chambre des recours civile du Tribunal cantonal, en application de l'art. 322 al. 1 CPC, prononce : I. Le recours est rejeté. II. L’ordonnance est confirmée. III. Les frais judiciaires de deuxième instance, arrêtés à 100 fr. (cent francs), sont mis à la charge de la recourante Y.________. IV. L’arrêt est exécutoire. Le président :               La greffière : Du L'arrêt qui précède, dont la rédaction a été approuvée à huis clos, est notifié à : ‑ Me Filippo Ryter (pour Y.________), ‑ E.________.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