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22 vom 13. Januar 2021</w:t>
      </w:r>
    </w:p>
    <w:p>
      <w:r>
        <w:t>VD Tribunal cantonal, 2021-01-13, FR</w:t>
      </w:r>
    </w:p>
    <w:p>
      <w:r>
        <w:rPr>
          <w:b/>
        </w:rPr>
        <w:t xml:space="preserve">Quelle: </w:t>
      </w:r>
      <w:r>
        <w:t>https://mcp.opencaselaw.ch/entscheid/vd_findinfo_HC___2021___22</w:t>
      </w:r>
    </w:p>
    <w:p>
      <w:r>
        <w:t>FR: VD_FINDINFO HC / 2021 / 22 du 13 janvier 2021</w:t>
      </w:r>
    </w:p>
    <w:p>
      <w:r>
        <w:t>IT: VD_FINDINFO HC / 2021 / 22 del 13 gennaio 2021</w:t>
      </w:r>
    </w:p>
    <w:p>
      <w:pPr>
        <w:pStyle w:val="Heading2"/>
      </w:pPr>
      <w:r>
        <w:t>Regeste</w:t>
      </w:r>
    </w:p>
    <w:p>
      <w:r>
        <w:t>REVENU HYPOTHÉTIQUE, GARDE ALTERNÉE, DROIT DE DÉTERMINER LE LIEU DE RÉSIDENCE, REJET DE LA DEMANDE | 285 CC, 298 al. 2ter CC, 301a CC</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dans une contestation de nature non pécuniaire dans son ensemble, dès lors que le litige porte sur le droit de déterminer le lieu de résidence de l’enfant, sur la garde alternée et sur la contribution d’entretien (TF 5A_819/2016 du 21 février 2017 consid. 1 et les réf. citées), le présent 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Conformément à l’art. 272 CPC relatif aux mesures protectrices de l’union conjugale et applicable par renvoi de l’art. 276 al. 1 CPC aux mesures provisionnelles de la procédure de divorce, le juge établit les faits d'office en vertu de la maxime inquisitoire. Il statue en application de la procédure sommaire (art. 271 let. a CPC) et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S’agissant des questions relatives aux enfants, la maxime inquisitoire illimitée (art. 296 al. 1 CPC) et la maxime d'office (art. 296 al. 3 CPC) sont applicables.</w:t>
      </w:r>
    </w:p>
    <w:p>
      <w:r>
        <w:rPr>
          <w:b/>
        </w:rPr>
        <w:t>E. 3.1</w:t>
      </w:r>
    </w:p>
    <w:p>
      <w:r>
        <w:t>L’appelante fait valoir dans un premier grief que le lieu de résidence de l’enfant H.L.________ devrait se situer à B.________, auprès d’elle, et qu’il lui serait nécessaire de déménager à B.________ en vue d’acquérir une formation. Dans la mesure où elle se serait occupée de sa fille depuis sa naissance et qu’elle exercerait les tâches éducatives à plein temps, il serait dans l’intérêt de l’enfant H.L.________ de la suivre. Ses capacités éducatives n’auraient en outre pas été remises en cause par les différents intervenants et H.L.________ disposerait d’ores et déjà d’une place de crèche à B.________, où la période d’adaptation se passerait bien. Son cercle social devrait dès lors se trouver à B.________. L’appelante ajoute qu’hormis le droit de visite du père, le déménagement ne modifierait pas de manière substantielle les modalités des mesures protectrices de l’union conjugale précédentes et il ne remettrait pas en cause le bien-être de l’enfant, dès lors qu’il n’aurait que peu d’influence sur sa prise en charge, notamment sur les relations personnelles entre parents et enfant.</w:t>
      </w:r>
    </w:p>
    <w:p>
      <w:r>
        <w:rPr>
          <w:b/>
        </w:rPr>
        <w:t>E. 3.2</w:t>
      </w:r>
    </w:p>
    <w:p>
      <w:r>
        <w:t>L'art. 301a al. 1 CC (Code civil suisse du 10 décembre 1907 ; RS 210)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(cf. art. 301a al. 2 CC), non celui des parents. L'autorité parentale conjointe ne doit pas priver de facto les parents de leur liberté d'établissement (art. 24 Cst. [Constitution fédérale du 18 avril 1999 ; RS 101]) en les empêchant de déménager (ATF 142 III 481 consid. 2.6 ; TF 5A_496/2020 du 23 octobre 2020 consid. 4.1 et les réf. citées).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5A_496/2020 précité consid. 4.1 et les réf. citées).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 l'attribution de la garde afin de déterminer quelle solution correspond le plus à l'intérêt de l'enfant.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 ATF 142 III 481 consid. 2.7 et les réf. citées).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 ATF 142 III 612 consid. 4.3 ; ATF 142 III 481 consid. 2.7 ; TF 5A_496/2020 précité consid. 4.2). L'examen de l'adaptation des modalités de la prise en charge, des relations personnelles et de l'entretien ne doit pas être dissocié de la question du déménagement, compte tenu du lien étroit entre ces éléments (ATF 142 III 502 consid. 2.6). A cet égard, il convient de clarifier le mode de prise en charge de l'enfant appliqué jusqu'alors, d'esquisser les contours du déménagement, ainsi que d'établir quels sont les besoins de l'enfant et la prise en charge, offerte et effectivement possible, par les parents (ATF 142 III 502 consid. 2.7 ; TF 5A_690/2020 du 5 novembre 2020 consid. 3.1.3).</w:t>
      </w:r>
    </w:p>
    <w:p>
      <w:r>
        <w:rPr>
          <w:b/>
        </w:rPr>
        <w:t>E. 3.3</w:t>
      </w:r>
    </w:p>
    <w:p>
      <w:r>
        <w:t>En l’occurrence, le premier juge a retenu qu’il était dans l’intérêt de l’enfant de maintenir un contact régulier avec chacun de ses deux parents, en se fondant sur l’avis unanime des professionnels qui entourent H.L.________. Pour ce faire, la seule possibilité était de transférer le lieu de résidence de cette dernière au domicile de son père, qui était favorable à une garde alternée, contrairement à l’appelante, qui tentait d’éloigner l’enfant de son père. Il ne pouvait par ailleurs être question d’empêcher l’appelante de concrétiser son projet de s’installer à B.________ et dans cette perspective, il paraissait manifestement dans l’intérêt de l’enfant de transférer à l’intimé le droit de déterminer son lieu de résidence. Il s’agissait du seul moyen permettant à l’enfant de ne pas suivre le domicile de sa mère à B.________ et de maintenir ainsi une continuité dans le réseau de professionnels qui l’entourait, ce d’autant plus que l’intimé semblait à ce stade en mesure d’offrir à H.L.________ la continuité dont elle avait besoin. Le premier juge a ajouté qu’aucun intervenant n’avait le moindre doute au sujet de l’intimé et de ses attitudes envers l’enfant. Ce dernier entretenait une bonne relation avec sa fille et s’investissait quant à son bien-être. Les suspicions émises par l’appelante d’avoir eu des attitudes inadéquates, voire à caractère sexuel, sur l’enfant n’avaient pas été démontrées et n’avaient pas emporté la conviction des professionnels. A la lecture du mémoire d’appel, on constate que l’appelante ne met en avant que ses intérêts personnels à déménager à B.________ et évoque la situation passée, sans prendre position sur les motifs ressortant de l’ordonnance litigieuse. En particulier, l’appelante ne discute pas la question principale du suivi thérapeutique de sa fille, dont le maintien avec les mêmes intervenants a pourtant été reconnu comme important, tant par la Dre N.________ et Mme P.________, que par le Dr F.________. L’appelante n’oppose aucun grief aux éléments retenus par le premier juge à cet égard. Elle ne critique pas non plus les motifs de la décision entreprise relatifs aux capacités éducatives de l’intimé. Par conséquent, rien ne vient remettre en cause l’appréciation du premier juge, à laquelle on peut entièrement se référer et qui est fondée sur l’avis unanime des intervenants et étayée par les pièces du dossier.</w:t>
      </w:r>
    </w:p>
    <w:p>
      <w:r>
        <w:rPr>
          <w:b/>
        </w:rPr>
        <w:t>E. 4.1</w:t>
      </w:r>
    </w:p>
    <w:p>
      <w:r>
        <w:t>Dans un deuxième grief, l’appelante soutient que la nécessité d’une garde alternée ne serait pas démontrée et qu’elle nuirait au bien de l’enfant. L’intimé ne souhaiterait ce type de garde qu’en raison de mobiles de pur chicane et non en raison d’une réelle envie de nouer des relations avec sa fille. H.L.________ serait souvent prise en charge par des tiers lors du droit de visite de l’intimé, ce dernier exerçant une activité à plein temps, sans avoir les disponibilités nécessaires pour s’occuper de l’enfant. En vue de l’instauration de la garde alternée, l’intimé se serait organisé pour confier l’enfant à des tiers plutôt que pour entretenir des relations personnelles avec elle. L’appelante explique que pour sa part, elle profiterait de chaque instant avec sa fille pour partager des moments privilégiés et qu’elle concilierait parfaitement ses devoirs éducatifs avec le suivi de sa formation. Depuis la séparation, elle se serait dévouée aux soins de l’enfant de manière prépondérante, pour ne pas dire exclusive, et rien ne justifierait de modifier la situation, qui garantirait une stabilité à l’enfant et n’entraverait pas son développement.</w:t>
      </w:r>
    </w:p>
    <w:p>
      <w:r>
        <w:rPr>
          <w:b/>
        </w:rPr>
        <w:t>E. 4.2</w:t>
      </w:r>
    </w:p>
    <w:p>
      <w:r>
        <w:t>La garde alternée est la situation dans laquelle les parents exerçant en commun l'autorité parentale se partagent la garde de l'enfant pour des périodes plus ou moins égales, qui peuvent être fixées en jours ou en semaines, voire en mois. L'instauration de la garde alternée ne suppose pas nécessairement l'accord des deux parents, mais doit se révéler conforme au bien de l'enfant et à la capacité des parents à coopérer. L’art. 298 al. 2ter CC dispose expressément que le juge devra examiner, selon le bien de l'enfant, la possibilité d'instaurer la garde alternée si le père, la mère ou l'enfant le demande. Par conséquent, en présence d'une autorité parentale exercée en commun, les tribunaux devront examiner la possibilité d'organiser une garde alternée même lorsqu'un seul des parents le demande (TF 5A_200/2019 du 29 janvier 2020 consid. 3.1.2 et les réf. citées). En matière d'attribution des droits parentaux, le bien de l'enfant constitue la règle fondamentale (ATF 141 III 328 consid. 5.4), les intérêts des parents devant être relégués au second plan (ATF 142 III 617 consid. 3.2.3 ; ATF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 TF 5A_200/2019 précité consid. 3.1.2 ; TF 5A_794/2017 du 7 février 2018 consid 3.1).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5A_200/2019 précité consid. 3.1.2 et les réf. citées ; sur le tout TF 5A_821/2019 du 14 juillet 2020 consid. 4.1). Le Tribunal fédéral a considéré que le refus d'instaurer une garde alternée à raison de 50 % en faveur de chacun des parents est arbitraire en tant qu'il repose uniquement sur des motifs tirés du principe de la stabilité et d'une prétendue communication insuffisante entre les parents, sans qu'aucune autre circonstance justifie une telle limitation et ce, alors que le père dispose d'ores et déjà d'un droit aux relations personnelles sur son fils se rapprochant d'une garde alternée (TF 5A_821/2019 précité consid. 4.4).</w:t>
      </w:r>
    </w:p>
    <w:p>
      <w:r>
        <w:rPr>
          <w:b/>
        </w:rPr>
        <w:t>E. 4.3</w:t>
      </w:r>
    </w:p>
    <w:p>
      <w:r>
        <w:t>Le premier juge a retenu que malgré les difficultés relationnelles des parents, ils parvenaient à communiquer au sujet de l’enfant. Aucun des professionnels n’avaient posé de contre-indication à l’instauration d’une garde alternée en dépit de ces difficultés. S’agissant de la disponibilité de chacun des parents à s’occuper de l’enfant, l’appelante disposait de quatre demi-journées et du mercredi de libre. L’intimé avait pour sa part averti son employeur et s’était organisé avec sa compagne et la crèche de H.L.________ pour pouvoir assumer la prise en charge de sa fille durant la moitié de la semaine. Les deux parents présentaient donc des disponibilités adéquates pour exercer une garde alternée. Aucun élément objectif ne permettait en outre de limiter les relations personnelles entre l’intimé et sa fille, ce d’autant plus que les professionnels considéraient de manière unanime qu’il était dans l’intérêt de l’enfant d’instaurer une garde alternée pour que cette dernière puisse passer autant de temps avec chacun de ses parents. Il convenait dès lors, pour favoriser autant que possible un développement global sain et harmonieux de l’enfant, qu’elle puisse passer un temps équivalent avec son père et sa mère. D’après le premier juge, la garde alternée permettait également d’éviter que l’enfant embrasse le point de vue négatif que la requérante avait de l’intimé. La garde alternée ne pouvait toutefois être envisagée que si les domiciles des parties restaient proches. Si l’appelante décidait de déménager à B.________, la garde de fait sur l’enfant devait être octroyée à l’intimé compte tenu du fait qu’il avait le droit de déterminer son lieu de résidence, avec un droit de visite à l’appelante. De même que pour le droit de déterminer le lieu de résidence, l’appelante ne met en cause la garde alternée qu’au regard de son déplacement à B.________, qui constitue un choix propre dicté par ses seuls intérêts et qui ne correspond pas à l’intérêt de l’enfant. Elle ne peut donc pas s’en prévaloir. De plus, l’appelante ne fonde ses allégations concernant l’indisponibilité de l’intimé à s’occuper personnellement de sa fille et le motif de stabilité sur aucun élément concret. Elle ne discute du reste l’appréciation de l’autorité précédente que sur ces deux aspects et ne remet en cause ni la capacité des parties à communiquer au sujet de l’enfant ni les compétences éducatives de l’intimé. S’agissant de la disponibilité de l’intimé, le premier juge a exposé qu’il avait mis en place des mesures pour assurer la prise en charge de sa fille la moitié de la semaine, mesures qui ont été considérées comme satisfaisantes pour ordonner la garde alternée. L’appelante ne rend pas vraisemblable que les dispositions prises par l’intimé ne seraient pas adéquates. Concernant l’argument de la stabilité, les différents intervenants, en particulier l’expert, ont exposé les risques liés au maintien de la situation prévalant jusqu’à présent, notamment pour ce qui est du point de vue négatif de l’appelante sur l’intimé, et les bénéfices d’un partage du temps de garde entre les parents pour le bon développement de H.L.________. L’appelante n’apporte aucun élément qui viendrait contredire les avis des spécialistes et ne fait valoir que sa propre vision de la situation. Au vu de ce qui précède, il convient de confirmer l’appréciation du premier juge, les modalités de l’exercice de la garde alternée n’étant au demeurant pas critiquées à juste titre. Par ailleurs, l’intérêt de l’enfant commande le maintien de son ancien domicile en raison notamment du suivi thérapeutique entrepris. L’ordonnance querellée a laissé, à raison, le choix à l’appelante de s’installer à B.________, en octroyant dans ce cas la garde au père. L’appelante n’invoque aucun argument valable à ce sujet et ne motive du reste pas en quoi il conviendrait de s’écarter de l’appréciation de l’autorité précédente, de sorte que sa conclusion tendant à l’attribution de la garde en sa faveur même en cas de déménagement à B.________ est infondée.</w:t>
      </w:r>
    </w:p>
    <w:p>
      <w:r>
        <w:rPr>
          <w:b/>
        </w:rPr>
        <w:t>E. 5.1</w:t>
      </w:r>
    </w:p>
    <w:p>
      <w:r>
        <w:t>L’appelante critique l’ordonnance attaquée concernant le revenu hypothétique retenu, alors qu’elle ne trouverait pas d’emploi malgré ses recherches. Elle fait valoir que ses études l’empêcheraient de réaliser un revenu et que le salaire mentionné par l’autorité précédente aurait uniquement été perçu pendant quelques mois, au titre de stage. Aucun montant ne devrait donc être pris en compte à titre de revenu hypothétique et les coûts liés à la prise en charge de H.L.________ devraient être couverts dans la mesure où l’appelante consacrerait tout son temps à l’éducation de sa fille et n’exercerait aucune activité lucrative. Elle ne devrait dès lors pas contribuer financièrement aux besoins de sa fille.</w:t>
      </w:r>
    </w:p>
    <w:p>
      <w:r>
        <w:rPr>
          <w:b/>
        </w:rPr>
        <w:t>E. 5.2</w:t>
      </w:r>
    </w:p>
    <w:p>
      <w:r>
        <w:t>Selon l’art. 276 al. 1 CC, les père et mère doivent pourvoir à l’entretien de l’enfant et assumer, par conséquent, les frais de son éducation, de sa formation et des mesures prises pour le protéger. L’art. 276 al. 2 CC précise que l’entretien est assuré par les soins et l’éducation ou, lorsque l’enfant n’est pas sous la garde de ses père et mère, par des prestations pécuniaires. Conformément à l’art. 285 CC, la contribution d’entretien doit correspondre aux besoins de l’enfant ainsi qu’à la situation et aux ressources de ses père et mère (al. 1, première phr.). La contribution d’entretien sert aussi à garantir la prise en charge de l’enfant par les parents et les tiers (al. 2).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Lorsqu'il entend tenir compte d'un revenu hypothétique, le juge doit ainsi déterminer si l'on peut raisonnablement exiger du conjoint concerné qu'il exerce une activité lucrative ou augmente celle-ci eu égard, notamment, à sa formation, à son âge et à son état de santé ; cette question relève du droit.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 outre examiner si celle-ci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S'agissant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de subvenir aux besoins de l'enfant (ATF 137 III 118 consid. 3.1 ; TF 5A_983/2019 du 13 novembre 2020 consid. 3.1.1 et les réf. citées).</w:t>
      </w:r>
    </w:p>
    <w:p>
      <w:r>
        <w:rPr>
          <w:b/>
        </w:rPr>
        <w:t>E. 5.3</w:t>
      </w:r>
    </w:p>
    <w:p>
      <w:r>
        <w:t>Le premier juge a considéré que les salaires que l’appelante avait perçus jusqu’au mois d’août 2020 lui avaient permis de subvenir à ses besoins. Elle avait ensuite renoncé de son plein gré à ces revenus, choix qu’il n’incombait pas à l’enfant de supporter. Aucune pièce au dossier n’attestait par ailleurs que l’appelante n’était pas en mesure de travailler, ce d’autant plus que la garde alternée lui permettait d’exercer une activité professionnelle, à tout le moins à 50 %. Les recherches d’emploi produites par l’appelante ne démontraient pas qu’elle avait fait tout ce qu’on pouvait attendre d’elle pour faire supporter à sa famille les conséquences financières de son choix. Compte tenu de son âge, de sa formation professionnelle et de son expérience, le premier juge lui a imputé un revenu hypothétique pour une activité à 50 %, soit 2'805 fr. par mois, en se basant sur le salaire qu’elle percevait avant de reprendre ses études. On relève que l’appelante ne discute pas les montants retenus à titre de revenus et de charges de l’intimé ni ses propres charges ni les coûts directs de l’enfant ni la manière du premier juge de calculer le revenu hypothétique. Il ne sera dès lors pas revenu sur ces chiffres, qui peuvent être confirmés. L’appelante critique le principe du revenu hypothétique. Or, l’appréciation de ce revenu hypothétique est correcte et l’appelante n’y oppose aucun élément permettant d’établir qu’elle serait erronée, mais seulement sa propre appréciation. En effet, la garde alternée permet à l’appelante de travailler à tout le moins à 50 %. S’agissant de la reprise de ses études, à l’instar du premier juge, on constate qu’il s’agit d’un choix personnel de l’appelante, qui ne doit pas avoir de conséquences pour la famille. En outre, la jurisprudence est claire s'agissant de l'obligation d'entretien d'un enfant mineur, à savoir que les exigences à l'égard des père et mère sont plus élevées, de sorte que ceux-ci doivent réellement épuiser leur capacité maximale de travail et ne peuvent pas librement choisir de modifier leurs conditions de vie si cela a une influence sur leur capacité de subvenir aux besoins de l'enfant (consid. 5.2 supra ). L’appelante n’apporte par ailleurs aucun élément concret pour contester l’appréciation du premier juge concernant le caractère insuffisant de ses recherches d’emploi. Partant, ses griefs doivent être rejetés.</w:t>
      </w:r>
    </w:p>
    <w:p>
      <w:r>
        <w:rPr>
          <w:b/>
        </w:rPr>
        <w:t>E. 6.1</w:t>
      </w:r>
    </w:p>
    <w:p>
      <w:r>
        <w:t>En définitive, l’appel, manifestement mal fondé, doit être rejeté selon l’art. 312 al. 1 in fine CPC et l’ordonnance confirmée, ce qui rend la requête d'effet suspensif sans objet.</w:t>
      </w:r>
    </w:p>
    <w:p>
      <w:r>
        <w:rPr>
          <w:b/>
        </w:rPr>
        <w:t>E. 6.2</w:t>
      </w:r>
    </w:p>
    <w:p>
      <w:r>
        <w:t>L'appel étant d'emblée dénué de chances de succès, la requête d'assistance judiciaire doit être rejetée (art. 117 let. b CPC).</w:t>
      </w:r>
    </w:p>
    <w:p>
      <w:r>
        <w:rPr>
          <w:b/>
        </w:rPr>
        <w:t>E. 6.3</w:t>
      </w:r>
    </w:p>
    <w:p>
      <w:r>
        <w:t>Vu le sort de l’appel, les frais judiciaires de deuxième instance, arrêtés à 600 fr. (art. 65 al. 2 TFJC [tarif des frais judiciaires civils du 28 septembre 2010 ; BLV 270.11.5]), sont mis à la charge de l’appelante (art. 106 al. 1 CPC). Il n’est pas alloué d’indemnité à la curatrice, qui n’a pas été amenée à intervenir dans le cadre de la procédure d’appel. N’ayant pas été invité à se déterminer sur l’appel et au vu de l’issue du litige, il n’est pas non plus alloué de dépens pour l’intimé. Par ces motifs, le Juge délégué de la Cour d’appel civile prononce : I. L’appel est rejeté. II. L’ordonnance est confirmée. III. La requête d’effet suspensif est sans objet. IV. La requête d’assistance judiciaire de l’appelante F.L.________ est rejetée. V. Les frais judiciaires de deuxième instance, arrêtés à 600 fr. (six cents francs), sont mis à la charge de l’appelante F.L.________. VI. Il n’est pas alloué de dépens de deuxième instance. VII. L’arrêt est exécutoire. Le juge délégué : La greffière : Du Le présent arrêt, dont la rédaction a été approuvée à huis clos, est notifié en expédition complète à : ‑ Me Astyanax Peca (pour F.L.________), ‑ Me Léonard Bruchez (pour G.L.________), ‑ Me Céline Jarry-Lacombe (pour l’enfant H.L.________), et communiqué, par l'envoi de photocopies, à : ‑ Madame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