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197 vom 26. März 2020</w:t>
      </w:r>
    </w:p>
    <w:p>
      <w:r>
        <w:t>VD Tribunal cantonal, 2020-03-26, FR</w:t>
      </w:r>
    </w:p>
    <w:p>
      <w:r>
        <w:rPr>
          <w:b/>
        </w:rPr>
        <w:t xml:space="preserve">Quelle: </w:t>
      </w:r>
      <w:r>
        <w:t>https://mcp.opencaselaw.ch/entscheid/vd_findinfo_HC___2021___197</w:t>
      </w:r>
    </w:p>
    <w:p>
      <w:r>
        <w:t>FR: VD_FINDINFO HC / 2021 / 197 du 26 mars 2020</w:t>
      </w:r>
    </w:p>
    <w:p>
      <w:r>
        <w:t>IT: VD_FINDINFO HC / 2021 / 197 del 26 marzo 2020</w:t>
      </w:r>
    </w:p>
    <w:p>
      <w:pPr>
        <w:pStyle w:val="Heading2"/>
      </w:pPr>
      <w:r>
        <w:t>Regeste</w:t>
      </w:r>
    </w:p>
    <w:p>
      <w:r>
        <w:t>OBLIGATION D'ENTRETIEN, PROTECTION DE L'UNION CONJUGALE, DÉBUT, REVENU HYPOTHÉTIQUE | 163 CC, 175 CC, 176 al. 1 ch. 1 CC, 317 al. 1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formés en temps utile par des parties qui ont un intérêt digne de protection (art. 59 al. 2 let. a CPC) et portant sur des conclusions qui, capitalisées selon l’art. 92 al. 2 CPC, sont supérieures à 10'000 fr., les appels sont recevables.</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(ATF 138 III 374 ; ATF 131 III 222 consid. 4.3 ; ATF 129 III 18 consid. 2.6).</w:t>
      </w:r>
    </w:p>
    <w:p>
      <w:r>
        <w:rPr>
          <w:b/>
        </w:rPr>
        <w:t>E. 2.4.1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2.4.2</w:t>
      </w:r>
    </w:p>
    <w:p>
      <w:r>
        <w:t>En l’espèce, l’appelante a allégué avoir appris peu de temps avant le dépôt de son appel que son époux aurait remis son commerce avec effet au 1 er août 2020 et qu’une nouvelle raison sociale proposait exactement la même gamme de produit que la raison individuelle de l’appelant, quand bien même aucune modification n’avait été inscrite au Registre du commerce. Elle a en outre relevé que la dernière audience de première instance avait eu lieu le 27 juillet 2020 et que l’appelant n’avait fait aucune mention du fait qu’il s’apprêtait à transmettre son activité à un tiers. L’appelante a démontré à satisfaction qu’elle ignorait les faits nouveaux dont elle se prévaut en deuxième instance, de sorte que ceux-ci sont recevables à ce stade, de même que les pièces produites par ses soins tendant à en démontrer l’existence. Il se justifiait en outre d’instruire ces nouveaux éléments, en particulier leur incidence sur la situation personnelle et financière de l’appelant, raison pour laquelle il a été donné droit aux réquisitions de production de pièces formulées par l’appelante. L’état de fait doit être complété en ce sens qu’il fasse état des éléments pertinents ainsi établis en deuxième instance. Dans ses plaidoiries écrites, l’appelante a requis la production en mains de l’époux des extraits d’un compte privé dont il serait titulaire auprès de la banque [...] depuis une date inconnue. Elle n’a cependant pas démontré que les conditions de l’art. 317 al. 1 CPC seraient réunies, de sorte que cette réquisition doit être rejetée. Enfin, la pièce produite en deuxième instance par l’appelant est recevable, dans la mesure où il s’agit d’une simulation d’impôts fondée notamment sur la contribution d’entretien qui lui a été accordée par le premier juge.</w:t>
      </w:r>
    </w:p>
    <w:p>
      <w:r>
        <w:rPr>
          <w:b/>
        </w:rPr>
        <w:t>E. 3.1</w:t>
      </w:r>
    </w:p>
    <w:p>
      <w:r>
        <w:t>L’appelante conclut à ce qu’il soit constaté que la séparation des parties est intervenue le 20 janvier 2018 et non, comme retenu par le premier juge, le 12 novembre 2018.</w:t>
      </w:r>
    </w:p>
    <w:p>
      <w:r>
        <w:rPr>
          <w:b/>
        </w:rPr>
        <w:t>E. 3.2</w:t>
      </w:r>
    </w:p>
    <w:p>
      <w:r>
        <w:t>L’autorisation judiciaire de mener provisoirement une vie séparée a une portée purement déclarative, chaque époux étant de plein droit autorisé à mener une vie séparée dès que les conditions de l’art. 175 CC (Code civil suisse du 10 décembre 1907 ; RS 210) sont remplies (Bohnet/Hirsch, Commentaire pratique, Droit matrimonial, Fond et procédure, 2016, n. 24 ad art. 175 CC) ou, en vertu de l’art. 275 CPC, dès qu’un procès en divorce est pendant. L’abandon du logement conjugal en violation des obligations du mariage ne constituant pas ou plus une cause de divorce, l’intérêt à faire constater le bien-fondé de la vie séparée ne subsiste souvent que parce que les époux doivent faire face à des demandes administratives, notamment en vue de prestations de l’aide sociale (cf. Bohnet/Hirsch, op. cit., n. 25 ad art. 175 CC). Cet intérêt est un simple intérêt de fait, dont on peut douter qu’il suffise à lui seul à justifier une action en constatation (cf. art. 59 al. 1 let. a CPC, qui exige que le demandeur justifie d’un intérêt digne de protection à l’action). En pratique, les tribunaux ont l’habitude de donner préalablement aux époux l’autorisation de suspendre la vie commune lorsqu’ils ordonnent les mesures prévues à l’art. 176 ss CC, mais, en soi, cette autorisation n’a aucune portée juridique. De même, les époux n’ont aucun intérêt à faire constater la date ou les circonstances de leur séparation effective par le juge des mesures protectrices, car la constatation de ces faits n’a pas autorité de chose jugée ; elle ne lie notamment pas le juge du divorce (cf. Schwander, in Basler Kommentar, Art. 1-456 ZGB, 6 e éd., 2018, n. 8 ad art. 175 CC ; Bohnet/Hirsch, op. cit., nn. 25 et 26 ad art. 175 CC). Certes, la date de la séparation de fait peut influer sur l’allocation d’autres conclusions – par exemple sur la date à partir de laquelle l’un des époux est astreint à payer des contributions d’entretien à l’autre ou sur la date à partir de laquelle l’époux resté dans le logement familial doit en supporter les charges. Mais la détermination de la date de la séparation effective des parties constitue, dans ces situations, une simple question préalable de fait, qui n’a pas à donner lieu à une constatation dans le dispositif de la décision. Il en va de même une fois le procès en divorce ouvert, dès lors que la constatation de la date et des circonstances de la séparation des parties relève du seul juge du fond si ces faits ont une influence sur le principe ou les effets du divorce (Juge délégué CACI 6 avril 2020/137).</w:t>
      </w:r>
    </w:p>
    <w:p>
      <w:r>
        <w:rPr>
          <w:b/>
        </w:rPr>
        <w:t>E. 3.3</w:t>
      </w:r>
    </w:p>
    <w:p>
      <w:r>
        <w:t>En l’espèce, dans la mesure où elles tendaient à l’autorisation de vivre séparément, avec un effet rétroactif dont il y aurait en outre lieu de constater qu’il remonte au 20 janvier 2018 ou, au contraire au 12 novembre 2018 au plus tard, les conclusions des parties étaient irrecevables. L’appel de l’épouse sera dès lors partiellement admis et le chiffre I du dispositif de l’ordonnance attaquée réformé en ce sens que la précision concernant la date de la séparation sera supprimée.</w:t>
      </w:r>
    </w:p>
    <w:p>
      <w:r>
        <w:rPr>
          <w:b/>
        </w:rPr>
        <w:t>E. 4.1</w:t>
      </w:r>
    </w:p>
    <w:p>
      <w:r>
        <w:t>L’appelante conteste, sur le principe déjà, qu’une contribution d’entretien soit due par ses soins en faveur de son époux.</w:t>
      </w:r>
    </w:p>
    <w:p>
      <w:r>
        <w:rPr>
          <w:b/>
        </w:rPr>
        <w:t>E. 4.2</w:t>
      </w:r>
    </w:p>
    <w:p>
      <w:r>
        <w:t>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(TF 5A_15/2014 du 28 juillet 2014 consid. 5.2.1).</w:t>
      </w:r>
    </w:p>
    <w:p>
      <w:r>
        <w:rPr>
          <w:b/>
        </w:rPr>
        <w:t>E. 4.3</w:t>
      </w:r>
    </w:p>
    <w:p>
      <w:r>
        <w:t>Dans le cas présent, l’appelant peut prétendre, sur le principe au versement d’une contribution d’entretien en sa faveur, de sorte qu’il se justifie d’entrer en matière sur le calcul de la capacité contributive de chacune des parties afin de déterminer si et dans quelle mesure une telle contribution d’entretien est concrètement due en l’espèce.</w:t>
      </w:r>
    </w:p>
    <w:p>
      <w:r>
        <w:rPr>
          <w:b/>
        </w:rPr>
        <w:t>E. 5.1</w:t>
      </w:r>
    </w:p>
    <w:p>
      <w:r>
        <w:t>L’appelante conteste la prise en compte de son bonus dans le calcul de sa capacité contributive. L’appelant soutient quant à lui que le salaire déterminant de l’appelante serait plus élevé au motif qu’il devrait tenir compte des frais de représentation.</w:t>
      </w:r>
    </w:p>
    <w:p>
      <w:r>
        <w:rPr>
          <w:b/>
        </w:rPr>
        <w:t>E. 5.2</w:t>
      </w:r>
    </w:p>
    <w:p>
      <w:r>
        <w:t>Le revenu net effectif comprend non seulement la part fixe du salaire, mais aussi les commissions,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 e éd., n. 982, p. 571 note infrapaginale 2118 ; Chaix, Commentaire romand, n. 7 ad art. 176 CC). Si des parts de salaire (p. 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5A_627/2019 du 9 avril 2020 consid. 4.1, FamPra ch. 2020 p. 748).</w:t>
      </w:r>
    </w:p>
    <w:p>
      <w:r>
        <w:rPr>
          <w:b/>
        </w:rPr>
        <w:t>E. 5.2.1</w:t>
      </w:r>
    </w:p>
    <w:p>
      <w:r>
        <w:t>Même lorsqu’on ne peut plus sérieusement compter sur la reprise de la vie commune, l’art. 163 CC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(cf. TF 5A_1043/2017 du 31 mai 2018 consid. 3.1 et les références citées). Pour fixer la contribution d’entretien, le juge doit en principe tenir compte du revenu effectif du débirentier. Il faut toutefois, selon les circonstances, lui imputer un revenu hypothétique correspondant à ce qu’il pourrait gagner en faisant preuve de bonne volonté et en fournissant l’effort que l’on peut raisonnablement exiger de lui afin de remplir ses obligations (ATF 143 III 233 consid. 3.2 ; ATF 137 III 102 consid. 4.2.2.2 ; ATF 128 III 4 consid. 4a).</w:t>
      </w:r>
    </w:p>
    <w:p>
      <w:r>
        <w:rPr>
          <w:b/>
        </w:rPr>
        <w:t>E. 5.2.2</w:t>
      </w:r>
    </w:p>
    <w:p>
      <w:r>
        <w:t>Pour les indépendants, le revenu est constitué – lorsqu'une comptabilité est tenue dans les règles – par le bénéfice net d'un exercice ; en l'absence de comptabilité, il s'agit de la différence du capital propre entre deux exercices (Chaix, Commentaire romand, Code civil I, 2010, n. 7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Plus les fluctuations de revenus sont importantes et les données fournies par l'intéressé sont incertaines, plus la période de comparaison doit être longue (ATF 143 III 617 consid. 5.1 ; TF 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consid. 5.1; TF 5A_874/2014 du</w:t>
      </w:r>
    </w:p>
    <w:p>
      <w:r>
        <w:rPr>
          <w:b/>
        </w:rPr>
        <w:t>E. 5.2.3</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 ; ATF 137 III 102 consid. 4.2.2.2 ; TF 5A_554/2017 du 20 septembre 2017 consid. 3.2 ; TF 5A_806/2016 du 22 février 2017 consid. 4.1 et les références citées).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(TF 5A_311/2019 du 11 novembre 2020 consid. 3.2, destiné à la publication).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 TF 5A_554/2017, déjà cité, consid. 3.2 et les références citées). Il faut notamment examiner si les changements étaient prévisibles pour la partie concernée (TF 5A_184/2015 du 22 janvier 2016 consid. 3.2 ; TF 5A_224/2016 du 13 juin 2016 consid. 3.3 ; TF 5A_978/2018, déjà cité, consid. 3.1). Lorsque le débirentier exerçait déjà une activité lucrative à plein temps et assumait une obligation d’entretien préexistante, rien ne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déjà cité, consid.</w:t>
      </w:r>
    </w:p>
    <w:p>
      <w:r>
        <w:rPr>
          <w:b/>
        </w:rPr>
        <w:t>E. 5.3</w:t>
      </w:r>
    </w:p>
    <w:p>
      <w:r>
        <w:t>En l’espèce, bien qu’il soit versé une seule fois par année, le bonus doit être intégré aux revenus annuels déterminants de l’appelante et donc pris en compte dans le calcul de sa capacité contributive. Il en va de même des frais de représentation, dans la mesure où l’appelante n’a pas rendu vraisemblable, ni même allégué qu’il s’agirait de frais effectifs. En revanche, son employeur a intégré au chiffre 1 du certificat de salaire le montant des allocations de formation versées, pour l’enfant majeure des parties, par 3'000 fr., et les a mentionnées sous le salaire brut dans les fiches de salaire. Dans la mesure où lesdites allocations ne sont pas soumises aux cotisations sociales (art. 6 al. 2 let. f RAVS [règlement sur l’assurance-vieillesse et survivants du 31 octobre 1947] ; RS 831.101), leur montant peut être retranché du salaire net versé à l’appelante, sans incidence sur le montant des charges sociales. En 2019, l’épouse a ainsi réalisé un salaire annuel net, hors allocations de formation, de 246'159 fr. (249'159 - [250 x 12]), soit un revenu mensuel net moyen de 20'513 fr. 25, treizième salaire et bonus compris, lequel doit être augmenté des frais de représentation de 1'000 fr. par mois pour aboutir à un montant mensuel net de 21'513 fr. 25. Les charges sociales se sont globalement élevées à environ 15% du salaire brut (246'159 / 290'000). En 2020, l’appelante a réalisé un revenu annuel brut, hors allocations de formation et frais de représentation, de 285'000 fr. (195'000 + 90'000), ce qui correspond à un salaire annuel net de 242’250 fr. (285'000 - [15% x 285'000]), après déduction des charges sociales, soit à un montant mensuel net moyen de 20'187 fr. 50 (242'250 / 12) auquel s’ajoutent les frais de représentation de 1'000 fr. par mois, soit un montant total de 21'187 fr. 50. Ainsi, l’appelante a perçu au cours de ces deux dernières années, un revenu mensuel net moyen de 21'657 fr. 50 ([21'513.25 + 21'801.75] / 2). C’est sur la base de ce montant que sa capacité contributive doit être déterminée dans le cadre de la présente procédure. 6. 6.1 L’appelante reproche au premier juge de ne pas avoir tenu compte du concubinage qualifié de son époux. L’époux conteste quant à lui faire ménage commun avec son amie et reproche au premier juge de ne pas avoir tenu compte, dans le calcul de ses charges essentielles, de ses frais de repas hors du domicile et de déplacement entre son domicile et son lieu de travail, au motif que ceux-ci auraient déjà été intégrés dans sa comptabilité commerciale, ce qu’il conteste. Enfin, il reproche au premier juge de ne pas avoir adapté sa charge fiscale, laquelle aurait dû tenir compte la contribution d’entretien qui lui a été accordée. 6.2 6.2.1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références, JdT 2012 II 479 ;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précité consid. 6.3.2.1). Ces économies doivent être prises en compte lors de l’établissement des besoins du créancier d’entretien (ATF 138 III 97 consid. 2.3.2 ; TF 5A_855/2017 du 11 avril 2018 consid. 3.1). Les coûts communs (montant de base prévu par les lignes directrices LP, loyer, etc.) sont en principe divisés en deux, même si la participation du nouveau partenaire est moindre (ATF 138 III 97 consid. 2.3.2, JdT 2012 II 479) ou lorsque les économies de coût ne sont pas effectivement réalisées (TF 5A_724/2016 du 19 avril 2017 consid. 4.3). 6.2.2 Selon les déclarations de l’époux à l’audience d’appel du 24 novembre 2020, il vit en concubinage simple depuis le début de l’année 2020 en tout cas. Ainsi, dès le 1 er janvier 2020, il y a lieu de tenir compte, dans le calcul des charges essentielles de l’appelant, de la moitié du montant de base de couple, ainsi que de la moitié du loyer de [...]. Dans la mesure où celui-ci n’est pas connu, il sera tenu compte d’un – demi – loyer hypothétique correspondant à celui de l’appartement que l’appelant loue à [...], lequel n’a quant à lui pas à être pris en considération, dans la mesure où l’appelant aurait pu et dû le mettre en location, respectivement en sous-location, ce qui aurait permis d’en couvrir les charges. 6.3 S'agissant des frais de transport et de repas de midi, les griefs de l’appelant sont fondés. En effet, la part privée pour les frais d’alimentation (position 4219) et pour les frais de transport (position 6209) ne sont pas comptabilisées comme charge de l’entreprise, mais comme dépense d’emploi du revenu du titulaire de l’entreprise. Elle est donc incluse dans le bénéfice de la raison individuelle pour être taxée comme revenu, mais correspond à une dépense effective, qui doit dès lors être comptabilisée dans les charges personnelles du mari, lors de la détermination de sa capacité contributive. Il sera ainsi tenu compte, de frais de transport d’un montant de 343 fr. 35 par mois (4'120 / 12) et de frais de repas hors du domicile de 180 fr. par mois (2'160 / 12), lesquels apparaissent suffisamment vraisemblables et dont les montants sont au demeurant raisonnables. 6.4 6.4.1 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il peut être fait usage de la calculette de l’Administration cantonale des contributions (ci-après : ACI ; www.vd.ch/themes/etat-droit-finances/impots/impots-individus-personnes-physiques/calculer-mes-impots) depuis 2010 (Juge délégué CACI 22 juin 2017/259). Le TF a fait référence à de telles simulations d'impôts disponibles sur des sites de l'administration fiscale (TF 5A_475/2011 du 12 décembre 2011 consid. 6.1.1.) et a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 A cet égard, il y lieu de préciser que la calculette fiscale de l’Administration fédérale des contributions (ci-après : AFC) est plus adaptée que celle de l’ACI en ce sens qu’elle permet notamment de saisir le revenu net et pas uniquement le revenu imposable du contribuable. En choisissant la première option, la calculette de l’AFC procède ensuite automatiquement aux déductions fiscales applicables (p. ex : « primes d’assurances et intérêts de capitaux d’épargne » et « déduction pour assurances privées »), contrairement à la calculette de l’ACI qui ne permet de saisir que le revenu imposable et suppose donc que ces déductions soient opérées au préalable. 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 TF 5A_958/2014 du 12 mai 2015 consid. 5.1.3 ; TF 5A_782/2016 du 31 mai 2017 consid. 6 ; TF 5A_461/2019 du 6 mars 2020 consid. 5.2, FamPra.ch 2020 p. 488). De même, lorsque le revenu effectif retenu est supérieur à celui ayant servi à l'imposition, il faut estimer la charge fiscale sur la base du revenu réel retenu (TF 5A_778/2012 du 24 janvier 2013 consid. 5.4). 6.4.2 En l’espèce, il y a lieu de procéder à une estimation de la charge fiscale de l’époux compte tenu des éléments qui précèdent, soit en particulier de ses revenus, de son lieu de domicile hypothétique, de son concubinage et des contributions d’entretien qu’il percevra de son épouse. Jusqu’au 31 décembre 2019, ses impôts doivent être calculés en tenant compte d’un domicile en tant que personne vivant seule à [...], d’un revenu net de l’ordre de 49'900 fr. par an (4'153.20 x 12) et d’une contribution d’entretien de l’ordre de 72'000 fr. par an (6'000 x 12 ; cf. consid. 7.3 infra ), ce qui aboutit à un montant annuel de l’ordre de 31’040 fr., soit d’environ 2’590 fr. par mois. Du 1 er janvier 2020 au 30 juin 2021, ses impôts doivent être calculés en tenant compte d’un domicile hypothétique en concubinage à [...], d’un revenu net de l’ordre de 49'900 fr. par an (4'153.20 x 12) et d’une contribution d’entretien de l’ordre de 60’200 fr. par an (5'010 x 12 ; cf. consid. 7.3 infra ), ce qui aboutit à un montant annuel de l’ordre de 25’900 fr., soit d’environ 2'160 fr. par mois. Enfin, dès le 1 er juillet 2021, la charge fiscale de l’appelant doit tenir compte d’un domicile hypothétique en concubinage à [...], de revenus hypothétiques nets de 4'521 fr. 30 par mois (cf. consid. 5.3.2 supra ), soit de revenus annuels nets de l’ordre de 54'300 fr., et d’une contribution d’entretien de l’ordre de 55’700 fr. par an (4’640 x 12 ; cf. consid. 7.3 infra ), ce qui aboutit à un montant annuel de l’ordre de 24’220 fr., soit d’environ 2'020 fr. par mois. Quant à la charge fiscale de l’appelante, elle doit également être revue afin de tenir compte de la contribution d’entretien dont elle devra s’acquitter en faveur de son époux. Sur la base de revenus annuels nets de l’ordre de 259'900 fr. (21'657.50 x 12), auxquels s’ajoutent les allocations de formation perçues pour D.H.________ – qui sont imposables (art. 27 al. 1 let. f LI [Loi sur les impôts directs cantonaux du 4 juillet 2000 ; BLV 642.11) – par 3'000 fr. par an, et après déduction de la contribution d’entretien due en faveur de l’appelant, par un montant de l’ordre de 72’000 fr. par an jusqu’au 31 décembre 2019, de 60’200 fr. par an du 1 er janvier 2020 au 30 juin 2021 et de 55’700 fr. dès le 1 er juillet 2021 (cf. consid. 7.3 infra ), sa charge fiscale – y compris l’impôt sur la fortune pour une fortune imposable de l’ordre de 350'000 fr. – peut être estimée à un montant d’environ : - 61’320 fr. par an, soit environ 5’110 fr. par mois, jusqu’au 31 décembre 2020, - 66'300 fr. par an, soit environ 5’530 fr. par mois du 1 er janvier 2020 au 30 juin 2021, - 68’360 fr. par an, soit environ 5’700 fr. par mois dès le 1 er juillet 2021, en chiffres arrondis. 6.5 Compte tenu de ce qui précède, les charges de l’appelant se présentent comme il suit, jusqu’au 31 décembre 2019 : - base mensuelle selon les normes OPF fr. 1'200.00 - frais de logement fr. 1'368.75 - assurance-maladie obligatoire fr. 331.35 - assurance-maladie complémentaire fr. 68.25 - frais médicaux nécessaires non-couverts fr. 208.35 - frais de transport (cf. consid. 6.3 supra ) fr. 343.35 - frais de repas hors du domicile (cf. consid. 6.3 supra ) fr.               180.00 - impôts (cf. consid. 6.4.2 supra ) fr. 2’590.00 - frais de téléphone et internet fr.              256.80 Total fr. 6'546.85 Du 1 er janvier 2020 au 30 juin 2021, ses charges sont les suivantes : - base mensuelle (cf. consid. 6.2.2 supra ) fr. 850.00 - frais de logement (cf. consid. 6.2.2 supra ) fr. 684.40 - assurance-maladie obligatoire fr. 331.35 - assurance-maladie complémentaire fr. 68.25 - frais médicaux nécessaires non-couverts fr. 208.35 - frais de transport (cf. consid. 6.3 supra ) fr. 343.35 - frais de repas hors du domicile (cf. consid. 6.3 supra ) fr.               180.00 - impôts (cf. consid. 6.4.2 supra ) fr. 2'160.00 - frais de téléphone et internet fr.              256.80 Total fr. 5'082.50 Dès le 1 er janvier 2020, ses charges s’élèveront à 4'942 fr. 50 (5'082.50 - 2'160 + 2'020 [cf. consid. 6.4.2 supra ]). 7. 7.1 Dans sa jurisprudence récente, le Tribunal fédéral a déclaré que la méthode du minimum vital avec répartition de l’excédent, dite en deux étapes (« zweistufige Methode mit Überschussverteilung »), devra désormais être appliquée pour le calculer tous les types de contribution d’entretien des enfants ou d’un époux (TF 5A_311/2019 du 11 novembre 2020 consid. 6.6 ; TF 5A_891/2018 du 2 février 2021 consid. 4.1 ; TF 5A_800/2019 du 9 février 2021 consid. 4.3). Selon cette méthode, l’ensemble des revenus des parents, respectivement des conjoints (y compris des enfants, le cas échéant) est d’abord calculé ; ensuite, les besoins de toutes les personnes concernées sont déterminés en partant du minimum vital du droit des poursuites, les Lignes directrices pour le calcul du minimum vital du droit des poursuites selon l’art. 93 LP du 1 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Les Lignes directrices prévoient notamment comme suppléments au montant de base mensuel le loyer, pour autant qu’il ne soit pas disproportionné par rapport à la situation économique et personnelle du débiteur,  les cotisations sociales non déjà déduites du salaire (par exemple les primes d’assurance-maladie obligatoire), les dépenses indispensables à l’exercice d’une profession (notamment les frais liés aux repas pris hors du domicile à hauteur de 9 à 11 fr. par jour et les frais de déplacement jusqu’au lieu de travail), et les pensions alimentaires dues en vertu de la loi. Si la situation le permet, il y a lieu d’affecter les ressources restantes à la satisfaction de besoin élargis, pour couvrir le minimum vital du droit de la famille des intéressés (ATF 144 III 377 consid. 7.1.4 ; TF 5A_450/2020 du 4 janvier 2021 consid. 4.3 ; TF 5A_727/2018 du 22 août 2019 consid. 2.3 ; TF 5A_963/2018 du 23 mai 2019 consid. 3.3.1, in FamPra.ch 2019 p. 991). Appartiennent typiquement au minimum vital du droit de la famille les impôts, les frais de logement correspondant à la situation réelle plutôt qu’au minimum vital du droit des poursuites, ou encore les primes relatives à des assurances complémentaires (TF 5A_311/2019, déjà cité, consid. 7.2 et les références citées). Entrent également dans le minimum vital du droit de la famille les prestations financières versées à des tiers autres que des contributions d’entretien dues à des enfants mineurs, non fondées sur un jugement mais régulières, à condition qu’elles soient nécessaires (TF 5C.53/2005 du 31 mai 2005 consid. 5.3). Si le minimum vital du droit de la famille est couvert, les parents doivent alors, avec les moyens restants, couvrir l’entretien de l’enfant majeur (minimum vital LP, voire, si possible, minimum vital du droit de la famille) (TF 5A_311/2019, précité,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Enfin, l’enfant majeur ne participe pas à l’excédent éventuel (TF 5A_311/2019, précité, consid. 7.2 et 7.3). 7.2 7.2.1 En l’espèce, compte tenu de la jurisprudence actuelle du Tribunal fédéral, il y a lieu de retrancher, du disponible de l’appelante, qui est manifestement suffisant pour couvrir l’entretien convenable de toute la famille, le minimum vital du droit de la famille de la fille majeure des parties, encore aux études, dont elle assume entièrement la charge. Sur la base des pièces figurant au dossier et des montants admis par l’appelant, celui-ci peut être estimé à un montant total de 1'266 fr.45, comprenant non seulement le montant de base de droit des poursuites par 600 fr., mais également un montant de l’ordre de 350 fr. pour ses primes d’assurance maladie obligatoire et complémentaire, des frais médicaux non couverts par 141 fr. 65 par mois, des frais de véhicule par 224 fr. 80, des frais de repas hors du domicile d’environ 200 fr. (9 x 21.5 jours, arrondi), un forfait de télécommunication par un montant estimé à 50 fr. par mois, ainsi que des frais d’écolage, respectivement de fournitures scolaires par 60 fr. par mois, soit un montant total de 1'626 fr. 45 par mois, dont il y a lieu de retrancher l’allocation de formation par 360 francs. 7.2.2 Quant aux budgets des époux, ils doivent être établis sur la base des règles strictes imposées par la jurisprudence récente du Tribunal fédéral. Les montants, admis par le premier juge, à titre de « vacances et loisirs » doivent dès lors être supprimés. Les postes dont l’appelante estime qu’ils auraient dû être pris en compte dans le calcul de sa capacité contributive, tels qu’un montant de base majoré de 20%, l’entretien du jardin, l’entretien de la maison, les journaux, la femme de ménage, les frais divers, les cadeaux, etc. n’ont pour le surplus pas à y être intégrés. Ainsi, en définitive, le budget de l’appelante présente un disponible, après la prise en charge des frais afférents à D.H.________ et compte tenu de sa charge fiscale approximative (cf. consid. 6.4.2 supra ), d’un montant de : - 11'713 fr. 80 (21'657.50 - 3'727.25 - 1'266.45 - 4’950) jusqu’au 31 décembre 2019, - 11'133 fr. 80 (21'657.50 - 3'727.25 - 1'266.45 - 5’530) du 1 er janvier 2020 au 30 juin 2021, - 10’963 fr. 80 (21'657.50 - 3'727.25 - 1'266.45 - 5’700) dès le 1 er juillet 2021. Quant au budget de l’appelant, il présente un manco de : - 2'393 fr. 65 (4'153.20 - 6'546.85) jusqu’au 31 décembre 2019, - 929 fr. 30 (4'153.20 - 5'082.50) du 1 er janvier 2020 au 30 juin 2021, - 421 fr. 20 (4'521.30 - 4'942.50) dès le 1 er juillet 2021. 7.3 Pour le surplus, il y a lieu de tenir compte des circonstances particulières du cas d’espèce, notamment des revenus particulièrement confortables réalisés par l’appelante, mais également du fait que seul un minimum vital du droit de la famille a été pris en compte pour l’enfant majeure [...], qui est pourtant entièrement à la charge de sa mère et dont l’entretien, dans les faits dépasse manifestement les montants figurant dans son budget, du fait que C.H.________ n’a pas été pris en considération, alors que l’appelante en supporte, concrètement, une partie des charges puisqu’il vit encore sous son toit et bénéficie de toute évidence du même train de vie que les autres membres de la famille et enfin du fait qu’aucun montant n’a été réservé pour les économies, alors qu’au vu du salaire perçu par l’appelante et du montant de la fortune globale des époux, ceux-ci devaient manifestement se constituer de l’épargne durant la vie commune. Ces montants peuvent être considérés, en équité, comme représentant globalement environ 1/5 du disponible restant après couverture des minimums vitaux du droit de la famille de l’enfant mineur encore aux études et des parents. Ainsi, en définitive, l’appelant peut prétendre, après couverture de son manco , à une part de 2/5 du disponible (2/5 pour l’épouse, 2/5 pour l’époux et 1/5 en équité pour l’entretien des enfants majeurs et l’épargne). Sur cette base, la contribution d’entretien à verser en sa faveur s’élèverait à un montant arrondi de : - 6'120 fr. (2'393.65 + 2/5 de [11'713.80 - 2'393.65]) jusqu’au 31 décembre 2019, - 5'010 fr. (929.30 + 2/5 de [11'133.80 - 929.30]) du 1 er janvier 2020 au 30 juin 2021, - 4’640 fr. (421.20 + 2/5 de [10'963.80 - 421.20]) dès le 1 er juillet 2021. Dans la mesure toutefois où l’époux a limité ses prétentions au versement d’une contribution d’entretien d’un montant mensuel de 6'000 fr. en sa faveur, elle sera plafonnée à ce montant, en particulier pour la période jusqu’au 31 décembre 2019. Le dies a quo doit, quant à lui, être fixé au 1 er mars 2019, soit un an avant le dépôt de la requête, le motif du premier juge pour refuser tout effet rétroactif étant incompatible avec la jurisprudence (TF 5A_458/2014 du 8 septembre 2014 consid. 4.1.2).</w:t>
      </w:r>
    </w:p>
    <w:p>
      <w:r>
        <w:rPr>
          <w:b/>
        </w:rPr>
        <w:t>E. 5.3.1</w:t>
      </w:r>
    </w:p>
    <w:p>
      <w:r>
        <w:t>Jusqu’au 31 décembre 2019, l’appelant exploitait sa raison individuelle, dont les résultats étaient variables d’une année à l’autre. Les comptes produits pour les années 2015 à 2019 sont ceux qui ont été présentés aux autorités fiscales, selon la déposition de l’intéressé à l’audience d’appel. Le fait qu’ils ne soient pas datés et signés n’affaiblit pas significativement leur force probante, contrairement à ce que soutient l’appelante. Quant aux pièces 251 bis , 252 bis et 253, on ne discerne pas en quoi elles renforceraient une impression d’insincérité des comptes, contrairement à ce que l’épouse allègue de manière toute générale, sans donner aucun contenu concret à ses griefs. Il y a dès lors lieu de se référer en principe à ces comptes, plus précisément aux comptes d’exploitation. Les comptes produits pour les années 2015 à 2019 font apparaître une augmentation du chiffre d’affaires entre 2015 et 2016, puis une chute importante en 2017, soit avant la séparation, et une baisse continuelle depuis lors, jusqu’à un résultat nul en 2019. Dès lors, pour arrêter les revenus du mari, il aurait pu être envisagé de se fonder sur le résultat de l’année 2019 seulement au lieu de faire la moyenne des années 2017 à 2019. S’agissant de cette dernière année, il y a toutefois lieu de corriger un amortissement qui paraît excessif par rapport à l’exercice précédent. En effet, parmi les frais financiers, l’amortissement comptabilisé pour les véhicules, par 13'725 fr. contre 4'000 fr. l’année précédente, devrait être réduit à ce dernier montant, ce qui porterait le bénéfice d’exploitation 2019 à 35'825 fr. (26'098.02 + 13'725 - 4'000) au lieu de 26'098 fr. 02. Quoi qu’il en soit, l’époux admet lui-même en appel que ses revenus du 1 er janvier 2017 au 31 décembre 2019 soient arrêtés à un montant moyen de 4'153 fr. 20 nets, tel que retenu par le premier juge, de sorte que c’est sur la base de ce montant que sera déterminée sa capacité contributive de la période en question.</w:t>
      </w:r>
    </w:p>
    <w:p>
      <w:r>
        <w:rPr>
          <w:b/>
        </w:rPr>
        <w:t>E. 5.3.2</w:t>
      </w:r>
    </w:p>
    <w:p>
      <w:r>
        <w:t>Pour l’année 2020, les comptes produits sont peu compréhensibles. Il s’agit apparemment d’écritures comptables de fin d’activité, qui font passer l’essentiel des revenus en amortissement (cf. amortissement immobilisations pour 47'775 fr. 35). Pour les deux premiers mois de l’année, aucun motif ne justifie de s’écarter des revenus retenus pour la période précédente. En revanche, dès le mois de mars 2010, l’activité de l’appelant a manifestement subi les conséquences de la pandémie de COVID-19. Néanmoins, il a vendu son fonds de commerce pour un montant de 50'000 fr., dont à déduire 10'000 fr. de commission de courtage – dont le montant est élevé mais apparaît avoir été effectivement convenu – et 3'574 fr. 75 (50'000 - 50’000/1.077) de TVA. Il a également perçu un revenu total de 13'700 fr. 20 entre les mois de septembre et octobre 2020 pour son emploi temporaire auprès de l’EMS [...] à [...]. Partant, la capacité contributive de l’époux aurait pu être calculée, sur la base des résultats 2019, pour la période du 1 er janvier au 29 février 2020, puis sur la base d’un revenu total de 54'395 fr. 75, correspondant à un revenu mensuel net de 4'533 fr. pour la période du 1 er mars au 31 décembre 2020. Toutefois, l’appelant – qui a exposé que ses revenus avaient chuté en raison de la pandémie et qu’il était désormais sans emploi – a proposé de retenir, dans le cadre de la présente procédure, qu’il a continué et continue encore à ce jour à percevoir un revenu net de 4'153 fr. 20 par mois, de sorte que c’est ce montant qui sera retenu à ce titre, pour l’année 2020 et la période actuelle, étant relevé que ce revenu fictif est plus favorable à l’épouse que les revenus effectifs perçus durant la même période. Compte tenu de l’ensemble des circonstances, il sera toutefois rappelé à l’appelant qu’il lui incombe de poursuivre assidument ses recherches d’emploi et de tout mettre en œuvre pour augmenter sa capacité contributive dans les meilleurs délais. Dans le domaine de la restauration, en vertu de la CCNT, un travailleur ayant réussi un examen professionnel fédéral a droit à un salaire minimum de 4'910 fr. brut, treize fois l’an, soit 4'521 fr. 30 net douze fois l’an si on estime les charges sociales à 15%. Titulaire d’un CFC de cuisinier, d’un diplôme de l’Ecole hôtelière de [...] et d’une patente de cafetier-restaurateur-hôtelier, l’appelant devrait pouvoir réaliser un tel revenu d’ici au 1 er juillet 2021 au plus tard. Un revenu hypothétique de ce montant lui sera dès lors imputé dès cette date, étant encore précisé qu’il lui incombera d’informer son épouse aussitôt qu’il retrouvera un emploi et que, le cas échéant, la pension devra être adaptée en conséquence. 5.</w:t>
      </w:r>
    </w:p>
    <w:p>
      <w:r>
        <w:rPr>
          <w:b/>
        </w:rPr>
        <w:t>E. 5.4</w:t>
      </w:r>
    </w:p>
    <w:p>
      <w:r>
        <w:t>; TF 5A_692/2012 du 21 janvier 2013 consid. 4.3, in FamPra.ch. 2013 p. 486).</w:t>
      </w:r>
    </w:p>
    <w:p>
      <w:r>
        <w:rPr>
          <w:b/>
        </w:rPr>
        <w:t>E. 8</w:t>
      </w:r>
    </w:p>
    <w:p>
      <w:r>
        <w:t>Enfin, le premier juge constate – sans que ni l’une ni l’autre des parties ne contestent ce point dans leurs appels respectifs – que l’appelant a reconnu que la moitié du montant de 38'253 fr. 40 versé par l’ACI en remboursement du trop-payé d’impôts du couple pour 2018 revient à son épouse. Dès lors que ce montant ne manquera pas à l’appelant pour subvenir à son minimum vital antérieur, il y a lieu d’autoriser l’appelante à opposer en compensation la somme de 19'126 fr. 70 (38'253.40 / 2) à l’arriéré de contribution d’entretien dû en vertu de ce qui précède (cf. consid. 7.3 supra ). En outre, l’appelant a reconnu à l’audience du 24 novembre 2020 avoir reçu régulièrement paiement des acomptes prévus par l’ordonnance de mesures superprovisionnelles du 12 mai 2020, soit d’un total de 16'000 fr. entre mai et novembre 2020. Ces acomptes, ainsi que le montant revenant à l’appelante sur le remboursement d’impôt, soit un total de 35'126 fr. 70 (= 19'126 fr. 70 + 16'000 fr.), doit être déduit des contributions allouées à l’appelant. Il en va de même des montants qui seront réglés par l’appelante après la mise en délibéré jusqu’à la notification de l’arrêt.</w:t>
      </w:r>
    </w:p>
    <w:p>
      <w:r>
        <w:rPr>
          <w:b/>
        </w:rPr>
        <w:t>E. 9.1</w:t>
      </w:r>
    </w:p>
    <w:p>
      <w:r>
        <w:t>En définitive, les deux appels doivent être partiellement admis et les chiffres I et II de l’ordonnance doivent être réformés dans le sens de ce qui précède (cf. consid. 3.3 et 6.4 supra ). L’ordonnance doit être confirmée pour le surplus. Au vu du résultat des appels respectifs, il ne se justifie pas, en application de l’art. 106 CPC, de revoir la répartition des dépens de première instance.</w:t>
      </w:r>
    </w:p>
    <w:p>
      <w:r>
        <w:rPr>
          <w:b/>
        </w:rPr>
        <w:t>E. 9.2</w:t>
      </w:r>
    </w:p>
    <w:p>
      <w:r>
        <w:t>Les frais judiciaires de deuxième instance, arrêtés à un montant total de 1'400 fr., soit 600 fr. par appel (art. 65 al. 2 TFJC [tarif des frais judiciaires civils du 28 septembre 2010 ; BLV 270.11.5]) et 200 fr. pour la requête d’effet suspensif (art. 7 al. 1 et 60 TFJC par analogie), doivent, en équité et au vu des conclusions respectives, être mis à la charge de l’appelante par 800 fr. et de l’appelant par 600 fr. (art. 107 al. 1 let. c CPC).</w:t>
      </w:r>
    </w:p>
    <w:p>
      <w:r>
        <w:rPr>
          <w:b/>
        </w:rPr>
        <w:t>E. 9.3</w:t>
      </w:r>
    </w:p>
    <w:p>
      <w:r>
        <w:t>Pour les mêmes motifs, les dépens doivent être compensés. Par ces motifs, le Juge délégué de la Cour d’appel civile prononce : I. L’appel de A.H.________ est partiellement admis. II. L’appel de B.H.________ est partiellement admis. III. L’ordonnance est réformée comme il suit aux chiffres I et II de son dispositif : I. autorise les époux B.H.________ et A.H.________, née A.H.________, à vivre séparés pour une durée indéterminée ; II. astreint A.H.________ à contribuer à l’entretien de B.H.________, par le versement d’une pension mensuelle, payable d’avance le premier de chaque mois, sous déduction des montants qu’elle a d’ores et déjà versés de ce chef, de : - 6’000 fr. (six mille francs) du 1 er mars 2019 au 31 décembre 2019, - 5'010 fr. (cinq mille dix francs) du 1 er janvier 2020 au 30 juin 2021, - 4'640 fr. (quatre mille six cent quarante francs) dès le 1 er juillet 2021, sous déduction de 35'126 fr. 70 (trente-cinq mille cent vingt-six francs et septante centimes) déjà réglés au 24 novembre 2020 et sous déduction, en outre, de tous autres montants payés par A.H.________ entre le 24 novembre 2020 et la date du présent arrêt au titre de l’obligation d’entretien entre époux ; L’ordonnance est confirmée pour le surplus. IV. Les frais judiciaires de deuxième instance, arrêtés à 1'400 fr. (mille quatre cents francs), sont mis par 800 fr. (huit cents francs) à la charge de l’appelante A.H.________ et par 600 fr. (six cents francs) à la charge de l’appelant B.H.________. V. Les dépens de deuxième instance sont compensés. VI. L’arrêt est exécutoire. Le juge délégué : La greffière : Du Le présent arrêt, dont la rédaction a été approuvée à huis clos, est notifié en expédition complète à : ‑ Me Inès Feldmann (pour A.H.________), ‑ Me Antonella Cereghetti (pour B.H.________),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