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152 vom 18. Mai 2021</w:t>
      </w:r>
    </w:p>
    <w:p>
      <w:r>
        <w:t>VD Tribunal cantonal, 2021-05-18, FR</w:t>
      </w:r>
    </w:p>
    <w:p>
      <w:r>
        <w:rPr>
          <w:b/>
        </w:rPr>
        <w:t xml:space="preserve">Quelle: </w:t>
      </w:r>
      <w:r>
        <w:t>https://mcp.opencaselaw.ch/entscheid/vd_findinfo_HC___2021___152</w:t>
      </w:r>
    </w:p>
    <w:p>
      <w:r>
        <w:t>FR: VD_FINDINFO HC / 2021 / 152 du 18 mai 2021</w:t>
      </w:r>
    </w:p>
    <w:p>
      <w:r>
        <w:t>IT: VD_FINDINFO HC / 2021 / 152 del 18 maggio 2021</w:t>
      </w:r>
    </w:p>
    <w:p>
      <w:pPr>
        <w:pStyle w:val="Heading2"/>
      </w:pPr>
      <w:r>
        <w:t>Regeste</w:t>
      </w:r>
    </w:p>
    <w:p>
      <w:r>
        <w:t>MANDAT, COURTAGE, HONORAIRES, VENTE D'IMMEUBLE, PARTAGE{SENS GÉNÉRAL} | 398 al. 1 CO, 398 al. 2 CO, 412 CO, 413 CO, 417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suffisamment motivé et interjeté en temps utile par une partie qui a un intérêt digne de protection (art. 59 al. 2 let. a CPC), dirigé contre une décision finale de première instance portant sur des conclusions supérieures à 10’000 fr., l’appel est recevable. Déposées en temps utile (art. 312 al. 2 CPC), les réponses de l’intimée et de l’appelée en cause le sont également.</w:t>
      </w:r>
    </w:p>
    <w:p>
      <w:r>
        <w:rPr>
          <w:b/>
        </w:rPr>
        <w:t>E. 2.1</w:t>
      </w:r>
    </w:p>
    <w:p>
      <w:r>
        <w:t>et les références citées). 5.2.5 S’agissant des obligations revenant aux parties à un contrat de courtage, l’une des principales consiste en la nécessité pour chacune d’entre elles (et non uniquement le courtier) de se comporter selon les règles de la bonne foi (Marquis, op. cit., p. 171). En particulier, le mandant a le devoir de contribuer à l’aboutissement de l’affaire dans ce cadre et de tenir le courtier au courant d’éventuels changements dans ses intentions, de modifications de l’objet ou encore de sa volonté de renoncer à l’affaire (Marquis, op. cit., p. 173). Par ailleurs, la bonne foi constitue également une limite à la possibilité du mandant de refuser les contrats indiqués ou négociés par le courtier, étant toutefois précisé qu’il doit tout de même rester libre dans sa décision (Marquis, op. cit., p. 175). 5.3 Les premiers juges ont retenu que l’intimée avait répondu aux différentes questions de T.________ ensuite de la visite du bien qu’elle avait organisée le 24 avril 2015 et qu’elle lui avait également transmis, dans le courant du mois de mai 2015, des informations par rapport au financement hypothécaire, ainsi qu’un « bon chez DL pour étude de financement ». Ils ont également souligné que les appelants avaient résilié le contrat de courtage les liant à l’intimée le 1 er juin 2015 et que cette dernière en avait pris acte par courriel du lendemain, annulant alors leur dossier. Partant, il ne pouvait lui être reproché de ne pas avoir mené à terme les éventuels pourparlers avec les futurs acquéreurs, dès lors qu’il ne lui appartenait pas de mener lesdits pourparlers avec de potentiels clients depuis la résiliation du contrat. Les premiers juges ont estimé que la question de savoir si l’on pouvait reprocher à l’intimée de ne pas avoir décelé la problématique du statut juridique du bien immobilier, à savoir une copropriété ou une propriété par étages, pouvait rester ouverte. En effet, il ressortait du témoignage du notaire L.________ que cette problématique s’était présentée lorsque les appelants avaient trouvé un acquéreur et la situation aurait donc été identique si le contrat de courtage n’avait pas été résilié et que le bien immobilier avait été vendu par l’intermédiaire de Q.________. Au surplus, les premiers juges ont retenu qu’aucune des parties n’alléguait ni n’établissait comment et à quelle date T.________ avait eu un premier contact avec J.________. On ne pouvait ainsi exclure un lien de causalité entre l’activité de l’intimée et la conclusion du contrat de vente du bien immobilier des appelants. Compte tenu d’une part de la présomption de fait dont bénéficie le courtier et d’autre part de la clause contenue dans le contrat de courtage signé par les appelants et l’intimée Q.________ le 6 juin 2014, prévoyant que la commission de courtage serait tout de même exigible pour le cas où une vente interviendrait dans les douze mois suivants la résiliation du contrat, les premiers juges ont considéré que les appelants devaient à Q.________ la commission de courtage, dès lors qu’il était établi que T.________ avait eu connaissance du bien immobilier des appelants par l’activité de l’intimée précitée, qui avait en outre répondu à ses interrogations. 5.4 Les appelants ne contestent pas qu’un contrat de courtage exclusif ait été conclu entre eux et Q.________. Ce contrat, dont la teneur n’est pas non plus contestée, stipulait que « si le transfert de l’objet a été initié par l’activité du courtier, il aura droit à une pleine commission ». Il ne précisait pas que l’intimée aurait un rôle d’indicateur ou de négociateur mais on peut inférer des termes précités que le courtier pouvait endosser les deux rôles, pour autant que la vente de l’objet soit initiée par son activité pouvant consister soit en une indication, soit en une négociation, étant précisé que la commission restait due si une vente devait être réalisée dans les douze mois après la résiliation du mandat à un acquéreur présenté par le mandataire. Les appelants contestent l’existence d’un lien de causalité entre l’activité déployée par Q.________ et la vente du bien immobilier. Ils soutiennent que les démarches de celle-ci n’auraient abouti à aucun résultat concret, que son activité aurait été peu ciblée voire très limitée et ils lui reprochent également de n’avoir effectué que 25 visites pour toute la durée de son mandat. Ils relèvent que les futurs acheteurs, à savoir T.________ et C.________, n’auraient eu qu’un intérêt faible ensuite de leur visite du 24 avril 2015 et que leurs échanges avec l’intimée Q.________ n’auraient été que très succincts. Ils font valoir que les pourparlers entre cette dernière et les acheteurs auraient été définitivement rompus puisqu’ils n’auraient plus eu aucun contact depuis le 11 mai 2015. Ils se prévalent également du fait que Q.________ ne se serait pas rendue compte que leur bien n’était pas vendable dans sa forme juridique de l’époque, alors qu’elle l’avait proposé tel quel à la vente. Ainsi, les conditions de vente auraient été manifestement modifiées à la suite de l’intervention du second courtier. L’intimée Q.________ rappelle pour sa part qu’elle a constitué un dossier de commercialisation qu’elle a transmis à de nombreux clients potentiels puis qu’elle a organisé plusieurs visites. Elle soutient qu’il serait établi et non contesté que T.________ et C.________ ont eu connaissance de la vente du bien immobilier par l’intermédiaire de son activité. Elle ajoute avoir échangé plusieurs courriels avec T.________ entre le 27 avril et le 11 mai 2015 avant que le contrat ne soit abruptement résilié par les appelants. Elle soutient que les pourparlers n’auraient pas été définitivement rompus mais qu’elle aurait été empêchée de les poursuivre, compte tenu de la résiliation du contrat de courtage. Elle allègue enfin qu’elle n’aurait eu aucune obligation de conseil à l’égard des appelants, en particulier s’agissant de la forme juridique du bien vendu et qu’au demeurant, ce problème serait survenu au moment où les appelants avaient trouvé un acquéreur et n’aurait pas été décelé par J.________. 5.5 S’agissant du rôle d’indicateur, celui-ci ne peut donner lieu à une commission que si Q.________ démontre avoir communiqué aux appelants les noms de T.________ et C.________ avant la conclusion de la vente. Or, l’instruction a permis d’établir que tel était le cas. En effet, les appelants ne contestent pas avoir eu connaissance de la transmission par l’intimée du dossier de vente à T.________ et C.________ au début du mois d’avril 2015. Ainsi, c’est bien l’intimée Q.________ qui a indiqué en premier aux appelants les noms de leurs futurs acheteurs, ce que les appelants et J.________ ne contestent d’ailleurs pas. En outre, Q.________, en trouvant un acquéreur intéressé, en lui envoyant de la documentation et en lui faisant visiter l’appartement des époux [...] afin de le convaincre de l’acquérir, en répondant à ses questions ultérieures et en lui envoyant un bon pour une étude hypothécaire, a rempli un rôle de négociateur. En effet, T.________ s’est adressée à Q.________ pour obtenir le dossier de vente de la villa le 22 avril 2015. Par courriel du même jour, l’intimée lui a transmis, en pièce jointe, une copie du dossier de vente précité et lui a proposé l’organisation d’une visite du bien immobilier. Ladite visite a été organisée en date du 23 avril 2015 et fixée au 24 avril 2015. Par courriel du 27 avril 2015, T.________ a posé plusieurs questions relatives à la villa des appelants. Elle a en outre indiqué qu’elle remerciait la personne qui avait effectué la visite et a dit que la propriété lui avait plu. Par courriel du 28 avril 2015, Q.________ a répondu aux diverses questions de T.________ et lui a transmis les extraits du Registre foncier pour la villa et la parcelle de base. Par courriel du 6 mai 2015, Q.________ a transmis à T.________ un bon chez DL pour une étude de financement. Le 11 mai 2015, T.________ a sollicité une nouvelle fois Q.________ pour des documents demandés par la banque, notamment « la police d’assurance ECA avec indication du m3, ainsi qu’un document officiel indiquant les m2 de la parcelle ». Le même jour, Q.________ lui a transmis les polices ECA « pour la villa et pour le couvert à voiture » et l’a informée que « la surface du terrain apparaît sur les registres foncier (sic) ». Au regard de ces éléments, il convient, d’une part, de constater que Q.________ a rempli tant un rôle d’indicateur que de négociateur en ce sens qu’elle s’est entremise entre le mandant et l’amateur en vue de le convaincre de s’intéresser au bien et de faire aboutir la vente ou la promesse de vente. On ne peut en outre pas retenir, comme les appelants le soutiennent, qu’il y aurait eu une rupture des pourparlers, dès lors que le contrat de courtage a été résilié à peine dix-neuf jours après le dernier courriel de T.________. Enfin, il ressort des contacts entre T.________ et Q.________ que celle-là manifestait un intérêt certain pour le bien des appelants, de sorte que le lien de causalité entre l’action de Q.________ envers les acquéreurs et la conclusion de cette vente à peine quatre mois plus tard est indéniable. Il est établi que T.________ et C.________ étaient intéressés par le bien immobilier des appelants lors de l’intervention de Q.________, qu’ils ont apprécié la visite du bien qui leur a été faite par cette dernière et qu’ils ont eu des réponses diligentes à toutes les questions qu’ils lui ont posées. La critique des appelants relative au fait que l’intimée aurait omis de détecter le problème de la forme juridique du bien vendu tombe à faux. D’une part, on ne peut pas considérer qu’il était de la responsabilité du courtier en immobilier de détecter un tel problème et d’autre part, celui-ci est apparu au moment où les appelants ont trouvé un acquéreur, de sorte que la nature juridique du bien vendu n’a pas été un obstacle à la vente, comme semblent le soutenir les appelants. La vente a en effet été conclue en octobre 2015 alors que le règlement de propriété par étages, règlement d’administration et d’utilisation « [...]», a été signé par les copropriétaires le 12 octobre 2016 et que la « [...]» a été constituée le 17 octobre 2016, soit plus d’une année après la vente. Q.________ a donc droit à une commission pour son rôle d’indicateur et de négociateur. Pour le reste, les griefs des appelants relatifs à l’activité peu ciblée voire très limitée de Q.________ ainsi qu’au faible nombre de visites ne sont pas pertinents. Enfin, le reproche des appelants selon lequel ses démarches n’auraient abouti à aucun résultat concret est infondé, dès lors que l’activité déployée par Q.________ a permis de trouver les futurs acquéreurs. 5.6 5.6.1 Il convient encore d’examiner la question des rapports entre les deux courtiers. A cet égard, les appelants soutiennent que la commission de courtage éventuellement due à l’intimée devrait être partagée avec J.________. Ils relèvent qu’il serait impossible de ne pas tenir compte de l’activité d’J.________ et reviennent une nouvelle fois sur les reproches adressés à l’intimée, à savoir notamment celui de n’avoir pas relevé le problème de la non-constitution de la propriété par étage, qui empêchait toute vente selon eux, et de la recherche non ciblée effectuée par l’intimée. 5.6.2 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 Basler Kommentar, Obligationenrecht I, 7 e éd., Bâle 2020, n. 12 ad art. 413 CO ; Rayroux, Commentaire romand, Code des obligations I, 2 e éd., Bâle 2012, n. 23 ad art. 413 CO et les références citées). Le courtier qui entend se prémunir du risque de devoir partager son salaire avec d’autres courtiers peut contracter une clause d’exclusivité avec le mandant (Rayroux, ibidem). A l’occasion de l’arrêt publié à l’ATF 72 II 421 (JdT 1947 I 293), le Tribunal fédéral avait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A cet égard, il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selon le Tribunal fédéral,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s’occupent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 La question de savoir quelles sont les conséquences de la violation de clauses de garantie de commission ou d’exclusivité doit être analysée en fonction du contenu de l’accord conclu entre les parties. En cas de renonciation au lien de causalité entre l’activité du courtier et la conclusion de l’affaire, le courtier a droit à la commission convenue, et ce même si le mandant a conclu l’affaire grâce à l’intervention de tiers. Si l’accord des parties confère au courtier un droit d’exclusivité ou prévoit une obligation à la charge du mandant de s’abstenir, le courtier peut considérer, le cas échéant, que le mandant a violé son obligation de ne pas faire au sens de l’art. 98 al. 2 CO et réclamer des dommages-intérêts, s’il fait la preuve de son préjudice (Rayroux, op. cit., n. 40 ad art. 412 CO). Le contrat peut prévoir une prestation contractuelle complète (e. g. salaire du courtier en cas de violation de son exclusivité) en lieu et place des dommages-intérêts (Thévenoz, Commentaire romand, Code des obligations I, 2 e éd., Bâle 2012, n. 25 ad art. 98 CO). 5.6.3 Les premiers juges ont rappelé qu’on ignorait quand le contrat liant les appelants et l’appelée en cause avait été conclu précisément, mais qu’il y avait lieu d’admettre qu’il avait été signé entre le 21 mai et le 27 mai 2015. Or, les appelants n’avaient résilié le contrat de courtage exclusif les liant avec l’intimée que par courrier du 1 er juin 2015. Les premiers juges ont ainsi estimé qu’ils avaient violé leurs obligations contractuelles envers l’intimée en ne respectant pas la clause d’exclusivité. Au vu des courriels échangés entre les appelants et l’appelée en cause au sujet de la « liste » de l’intimée, il y a lieu d’admettre que les appelants connaissaient le risque lié à la clause du contrat du 6 juin 2014 sur l’exigibilité de la commission en cas de vente dans les douze mois à un acquéreur présenté par l’intimée. Les premiers juges ont ainsi considéré que les appelants ne pouvaient pas prétendre que la commission de courtage soit partagée entre les courtiers, qui avaient tous deux rempli leurs obligations contractuelles respectives. 5.6.4 En l’espèce, les appelants ont conclu un contrat de courtage exclusif avec Q.________ puis un contrat de courtage non exclusif avec J.________. Le contrat signé avec Q.________ prévoyait que le mandant devait conclure par l’entremise du courtier, sans faire appel à d’autres intermédiaires ni en s’entremettant lui-même et qu’en cas de violation de cette obligation, le courtier aurait droit à sa pleine commission, que la vente ou la promesse de vente soit intervenue par l’intermédiaire d’un tiers ou du mandant lui-même. Le contrat stipulait également que la commission restait due si une vente devait être réalisée dans les douze mois après la résiliation du mandat à un acquéreur présenté par le mandataire. Les appelants ont signé le contrat de courtage avec J.________ entre le 21 et le 27 mai 2015, alors qu’ils n’avaient pas encore résilié le contrat de courtage exclusif conclu avec Q.________. Cette résiliation a eu lieu par courriel du 1 er juin 2015, étant rappelé que le contrat de vente de l’immeuble a été signé ultérieurement, soit en octobre 2015. Partant, on ne peut que considérer que les appelants n’ont pas respecté leurs obligations contractuelles envers l’intimée en violant la clause d’exclusivité du courtage conclu avec celle-ci. Les appelants étaient pleinement conscients des conséquences d’une telle violation puisqu’ils ont interpellé l’appelée en cause à cet égard en s’inquiétant du fait que l’intimée pourrait éventuellement réclamer par la suite une commission de courtage s’agissant de sa propre activité. En outre, lorsqu’elle a pris acte de la résiliation de son mandat le 2 juin 2015, l’intimée a attiré l’attention des appelants sur la clause prévoyant qu’une commission restait due si une vente devait être réalisée dans les douze mois après la résiliation du mandat à un acquéreur présenté par le mandataire. Dans un tel cas de figure, la doctrine considère que le mandant commet une violation de l’obligation de s’abstenir, ce qui l’oblige au paiement de dommages-intérêts, voire de l’entier de la prestation contractuelle prévue. En l’espèce, il faut rappeler que le contrat signé par les appelants et l’intimée prévoyait le paiement des honoraires durant douze mois après la résiliation en cas de vente à un acquéreur présenté par Q.________. L’appartement des appelants a effectivement été vendu à des acquéreurs qui avaient été présentés en premier lieu par l’intimée, étant précisé qu’on ignore si ceux-ci ont eu des contacts avec l’appelée en cause, de tels faits n’ayant pas été établis, ni même allégués. Q.________ a présenté aux appelants les personnes qui allaient acquérir leur bien. Elle a en outre, comme on l’a vu sous consid. 5.5 supra, organisé une visite du bien avec les acquéreurs, les a renseignés au sujet du bien immobilier et leur a envoyé les différents documents qu’ils ont sollicités. La baisse du prix du bien immobilier invoquée par les appelants est davantage due à la nouvelle situation juridique décelée par le notaire plutôt qu’à l’activité du courtier appelé en cause. En tous les cas, il ne ressort pas des faits de la cause que l’activité d’J.________ ait eu une quelconque influence sur la conclusion du contrat de vente et il n’est même pas établi que celle-ci a eu des contacts avec les acquéreurs. Au demeurant, la clause d’exclusivité signée par les parties était destinée à garantir à Q.________ le paiement de ses honoraires. Il y a donc lieu de confirmer le raisonnement des premiers juges consistant à considérer que les appelants ont violé leurs obligations contractuelles envers Q.________ et de retenir que l’intimée a droit à l’entier de la commission due en vertu du contrat de courtage exclusif, les conditions d’un partage de celle-ci entre les courtiers n’étant manifestement pas remplies. 5.7 5.7.1 Selon le contrat conclu entre les appelants et l’intimée Q.________, la commission due à celle-ci était de 3% du prix de vente, plus la TVA. Les appelants soutiennent toutefois que la rémunération convenue serait excessive, compte tenu des manquements de l’intimée. 5.7.2 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 417 CO est une disposition de droit impératif, que le juge doit, le cas échéant, appliquer d’office (ATF 111 Il 366, JdT 1986 I 499 ; Rayroux, Commentaire romand, Code des obligations I, Bâle 2012, n. 1 ad art. 417 CO). La réduction est réputée requise lorsque le débiteur ne se borne pas à contester le principe de la prétention, mais qu’il en discute également le montant et articule des motifs de réduction. Le débiteur n’est pas tenu d’invoquer expressément l’art. 417 CO ni de prendre une conclusion séparée en réduction. Il suffit d’une conclusion libellée de façon à englober une réduction judiciaire du montant, ce qui est le cas d’une conclusion tendant au rejet de la demande pour le tout (ATF 109 II 120, JdT 1984 I 41 ; ATF 111 Il 366, JdT 1986 I 499 ; Marquis, op, cit., p. 302 ; Engel, Contrats de droit suisse, Berne 2000, 2 e éd., p. 525). En matière immobilière, les commissions sont en règle générale fixées sur la base d’un pourcentage du prix de vente obtenu et non en fonction des dépenses effectives du courtier. Il arrive que le taux usuel varie en fonction du prix qui sert de référence ; il diminue alors au fur et à mesure que le prix de vente augmente (TF 4C_362/1999 du 22 mars 2000 et les références citées). 5.7.3 En l’espèce, on ne peut retenir que l’intimée aurait commis des manquements justifiant une réduction du montant prévu forfaitairement. En effet, son activité a conduit à la signature du contrat de vente. En outre, une commission forfaitaire s’élevant à 3% du prix de vente n’est pas excessive au regard du prix de vente de l’immeuble, arrêté à 1'025'000 francs. Il convient en conséquence de s’en tenir au montant alloué par les premiers juges à Q.________, soit 33’210 fr., TVA comprise. 5.8 5.8.1 S’agissant des rapports des appelants avec J.________, on comprend qu’ils ont en substance sollicité, dans leur requête d’appel en cause, le remboursement par J.________ de la somme qu’ils seraient condamnés à payer à Q.________. En appel, ils ont en effet conclu, à titre subsidiaire, à ce que « tout montant alloué à Q.________ à titre de commission soit réduit au montant correspondant à la part de commission que J.________ serait condamnée à leur verser ». Plus subsidiairement, les appelants ont conclu à la réforme du jugement entrepris en ce sens que J.________ soit condamnée à verser à Q.________, à concurrence d’un montant de 13'500 fr. ou de tout autre montant que justice dira, une part de commission de 27'000 fr. qui lui a été versée suite à la vente de l’immeuble sis chemin [...]. Plus subsidiairement encore, ils ont conclu à la condamnation de J.________ à payer un montant de 13'500 fr. à Q.________ correspondant à la moitié de la commission de courtage perçue par l’appelée en cause, et, à titre encore plus subsidiaire, à ce que J.________ soit condamnée à les relever de toute condamnation en capital-intérêt frais et dépens qui viendrait à être prononcée à leur encontre en faveur de Q.________. Ils ont notamment soutenu que J.________ serait responsable des garanties expresses qu’elle leur aurait faites selon lesquelles la vente de leur bien immobilier aux acheteurs ne leur faisait courir aucun risque d’une action de Q.________ à leur encontre et qu’elle leur aurait ainsi causé un dommage. L’appelée en cause indique pour sa part que les appelants seraient responsables des contrats qu’ils ont signés et qu’elle n’aurait jamais assuré à ses mandants qu’ils ne risquaient aucune action de la part de l’intimée. 5.8.2 En vertu de l'art. 398 CO, la responsabilité du mandataire est soumise, d'une manière générale, aux mêmes règles que celle du travailleur dans les rapports de travail. L'al. 2 de cette disposition précise que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Code des obligations I, Commentaire romand, 2 e éd., Bâle 2012 [ci-après : CR-CO I], n. 13 ad art. 398 CO). Il peut y avoir un cumul entre le droit à la réduction des honoraires et à la réparation du dommage causé par la mauvaise exécution (ATF 124 III 423 consid. 4c). Il ne peut alors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Les contrats spéciaux, 5 e éd., 2016, nn. 4591, 4593 et 4594). L'art. 398 al. 1 CO soumet, « d'une manière générale », la responsabilité du mandataire aux mêmes règles que celle du travailleur dans les rapports de travail. La règle renvoie à l'art. 321e CO, qui, selon la doctrine dominante, reprend lui-même le régime général de l'art. 97 CO. Selon cette opinion, pour que la responsabilité du mandataire soit engagée, le mandant doit prouver l'existence d'un préjudice, d'une violation du mandat et d'un rapport de causalité adéquate entre la violation du mandat et le préjudice. Il appartient en revanche au mandataire d'établir qu'il n'a pas commis de faute, parce qu'il s'est comporté d'une manière diligente (Werro, op cit., n. 37 ad art. 398 CO). 5.8.3 Sur ce point, la Cour de céans constate que les appelants n’ont pas établi avoir versé à J.________ un quelconque montant puisqu’ils se sont bornés à produire une facture qui leur avait été adressée par cette dernière. Les appelants ne sauraient demander qu’J.________ leur rembourse une somme dont ils n’ont pas établi le paiement dans la présente procédure ou encore que l’intéressée soit personnellement reconnue débitrice du montant à payer à Q.________ au titre de commission de courtage. Par ailleurs, on ne saurait retenir, comme les appelants le soutiennent, qu’J.________ aurait violé ses obligations contractuelles et leur aurait causé un dommage en leur garantissant qu’ils ne risquaient aucune action judiciaire de la part de l’intimée. D’une part, on ignore les éléments qui ont été transmis à J.________ et sur la base desquels elle s’est exprimée. Celle-ci n’étant pas une professionnelle du droit, les appelants ne pouvaient pas se fier à ses déclarations à cet égard sans consulter un tel professionnel, ce qu’ils se sont abstenus de faire. Enfin, les appelants n’exposent pas en quoi les assurances données par J.________ seraient en lien de causalité avec le dommage financier qu’ils subissent en raison de la présente procédure. En effet, ils ne soutiennent pas qu’ils auraient agi différemment si J.________ les avait informés de la possibilité que Q.________ réclame en justice tout ou partie de la commission de courtage, possibilité qu’ils n’ignoraient pas puisqu’ils s’en sont inquiétés auprès de l’appelée en cause. Par conséquent, les prétentions élevées par les appelants contre l’appelée en cause ne peuvent qu’être rejetées.</w:t>
      </w:r>
    </w:p>
    <w:p>
      <w:r>
        <w:rPr>
          <w:b/>
        </w:rPr>
        <w:t>E. 2.2</w:t>
      </w:r>
    </w:p>
    <w:p>
      <w:r>
        <w:t>En l’espèce, les appelants requièrent l’audition de T.________ et C.________ en qualité de témoins. Néanmoins, ils ne motivent pas les raisons pour lesquelles l’audition des intéressés n’a pas été requise auprès des premiers juges. Ils ne soutiennent au demeurant pas qu’une telle audition leur aurait été refusée en première instance. Partant, faute de remplir les exigences posées à l’art. 317 al. 1 CPC, les mesures d’instruction sollicitées par les appelants seront rejetées.</w:t>
      </w:r>
    </w:p>
    <w:p>
      <w:r>
        <w:rPr>
          <w:b/>
        </w:rPr>
        <w:t>E. 2.3</w:t>
      </w:r>
    </w:p>
    <w:p>
      <w:r>
        <w:t>et l’arrêt cité),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(TF 4A_153/2017 du 29 novembre 2017 consid. 2.3 et l’arrêt cité). 5.2.3 En matière de courtage d'indication, il suffit que le courtier annonce l'occasion de conclure au mandant. On peut distinguer deux phases : tout d'abord le courtier recherche des amateurs, puis il communique au mandant les occasions de conclure (Marquis, Le contrat de courtage immobilier et le salaire du courtier, thèse Lausanne, 1993,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Il incombe au courtier, s'il entend recevoir une rémunération, d'indiquer à son mandant une occasion de conclure qui lui était inconnue jusque-là (TF 4A_153/2017 du 29 novembre 2017 consid. 2.3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4A_153/2017 du 29 novembre 2017 consid. 2.3 et les arrêts cités).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 TF 4A_153/2017 du 29 novembre 2017 consid. 2.3 ; Marquis, op. cit., p. 440 ss). Le temps écoulé entre les derniers efforts du (premier) courtier et la conclusion du contrat principal est en soi un fait dénué de portée (ATF 84 II 542 consid. 3 ; TF 4A_153/2017 du 29 novembre 2017 consid. 2.3).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 5.2.4 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volontiers du tiers de conclure le contrat principal (Marquis, op. cit.,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consid.</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4.1</w:t>
      </w:r>
    </w:p>
    <w:p>
      <w:r>
        <w:t>Les appelants reprochent à l’autorité de première instance d’avoir apprécié les preuves et constaté les faits inexactement.</w:t>
      </w:r>
    </w:p>
    <w:p>
      <w:r>
        <w:rPr>
          <w:b/>
        </w:rPr>
        <w:t>E. 4.2</w:t>
      </w:r>
    </w:p>
    <w:p>
      <w:r>
        <w:t>Ils lui font tout d’abord grief d’avoir retenu qu’il n’était pas établi que T.________ aurait eu un premier contact avec la société J.________. Ils soutiennent qu’il serait patent que l’acheteuse aurait eu un contact direct avec la société précitée afin d’entamer de nouvelles négociations et de conclure la vente, notamment parce qu’elle n’aurait pas disposé du numéro de téléphone des appelants et qu’elle n’aurait pas pris contact directement avec eux. Ils allèguent qu’il serait manifeste que T.________ et C.________ auraient vu la nouvelle annonce émise par J.________ et qu’ils auraient contacté cette société afin de revisiter la maison. Les appelants se bornent toutefois à alléguer les faits précités, sans les établir. Le seul moyen de preuve qu’ils offrent, à savoir l’audition de T.________ et C.________, est irrecevable en deuxième instance (cf. consid. 2.2 supra). Il n’est dès lors pas établi que les acheteurs auraient eu un contact directement avec la société J.________, qu’ils auraient vu la nouvelle annonce émise par celle-ci ou encore qu’ils l’auraient contactée afin de revisiter la maison, étant au surplus précisé que ces éléments n’ont même pas été allégués par les appelants dans leurs écritures de première instance.</w:t>
      </w:r>
    </w:p>
    <w:p>
      <w:r>
        <w:rPr>
          <w:b/>
        </w:rPr>
        <w:t>E. 4.3</w:t>
      </w:r>
    </w:p>
    <w:p>
      <w:r>
        <w:t>Les appelants font ensuite grief aux premiers juges d’avoir retenu que Q.________ avait répondu aux diverses questions de T.________ ensuite de la visite du bien organisée le 24 février 2015 et qu’elle lui avait notamment transmis des informations par rapport au financement hypothécaire. Ce grief tombe toutefois à faux. En effet, les éléments retenus par les premiers juges ressortent des échanges de courriels, qui ont été produits au dossier, entre T.________ et l’intimée, par l’intermédiaire de plusieurs de ses employés, ainsi que des déclarations de R.________ lors de son audition en qualité de témoin. A cet égard, il y a lieu de souligner que R.________ n’est plus employé par Q.________, de sorte qu’il n’a aucun intérêt financier dans le présent litige et que ses déclarations sont corroborées par les appels téléphoniques et les courriels échangés avec T.________ et C.________. Partant, il n’y a pas lieu de corriger l’état de fait.</w:t>
      </w:r>
    </w:p>
    <w:p>
      <w:r>
        <w:rPr>
          <w:b/>
        </w:rPr>
        <w:t>E. 4.4</w:t>
      </w:r>
    </w:p>
    <w:p>
      <w:r>
        <w:t>Les appelants reprochent enfin aux premiers juges de ne pas avoir retenu que la clause d’exclusivité relative au contrat de courtage conclu avec l’intimée Q.________ aurait été résiliée par B.O.________ par courriel du</w:t>
      </w:r>
    </w:p>
    <w:p>
      <w:r>
        <w:rPr>
          <w:b/>
        </w:rPr>
        <w:t>E. 6</w:t>
      </w:r>
    </w:p>
    <w:p>
      <w:r>
        <w:t>mai 2015. S’agissant du courriel précité, il mentionne ce qui suit : « (…) je te confirme la Non Exclusivité concernant la vente de notre maison à X.________ ! Le prix de la maison et (sic) Fr. 1'160'000.- NON NEGOCIABLE !! ». Les premiers juges n’ont reproduit qu’une partie de ce courriel dans l’état de fait du jugement entrepris, à savoir sa deuxième partie relative au prix de l’objet vendu. Il y a donc lieu de compléter les faits à cet égard. 5. 5.1 Les appelants contestent le droit de Q.________ de percevoir toute commission de courtage en vertu du contrat conclu entre eux le 6 juin 2014. 5.2 5.2.1 L'art. 412 al. 1 CO (Code des obligations du 30 mars 1911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 5.2.2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(ATF 131 III 268 consid. 5.1.2 ; TF 4A_153/2017 du 29 novembre 2017 consid. 2.1). Pour prétendre à un salaire, il doit prouver, d'une part,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(TF 4A_153/2017 du 29 novembre 2017 consid. 2.1). En ce qui concerne le lien de causalité, il ne s'agit pas d'un lien de causalité naturelle ou de causalité adéquate (TF 4A_153/2017 du 29 novembre 2017 consid. 2.3 et la référence citée). Il suffit que celle-ci ait été une cause même éloignée de la décision du tiers satisfaisant à l'objectif du mandant. La jurisprudence se contente d'un lien psychologique entre les efforts du courtier et la décision du tiers (TF 4A_153/2017 du 29 novembre 2017 consid.</w:t>
      </w:r>
    </w:p>
    <w:p>
      <w:r>
        <w:rPr>
          <w:b/>
        </w:rPr>
        <w:t>E. 6.1</w:t>
      </w:r>
    </w:p>
    <w:p>
      <w:r>
        <w:t>En conclusion, l’appel doit être rejeté et le jugement entrepris confirmé.</w:t>
      </w:r>
    </w:p>
    <w:p>
      <w:r>
        <w:rPr>
          <w:b/>
        </w:rPr>
        <w:t>E. 6.2</w:t>
      </w:r>
    </w:p>
    <w:p>
      <w:r>
        <w:t>A teneur de l’art. 106 al. 1 CPC, les frais sont mis à la charge de la partie succombante. Les frais judiciaires de deuxième instance, arrêtés à 1'332 fr. (art. 62 al. 1 TFJC [tarif des frais judiciaires civils du 28 septembre 2010 ; BLV 270.11.5]), seront mis à la charge d’A.O.________ et B.O.________, solidairement entre eux, dès lors qu’ils succombent.</w:t>
      </w:r>
    </w:p>
    <w:p>
      <w:r>
        <w:rPr>
          <w:b/>
        </w:rPr>
        <w:t>E. 6.3</w:t>
      </w:r>
    </w:p>
    <w:p>
      <w:r>
        <w:t>Au vu de l’issue du litige et de l’activité déployée par les mandataires de l’intimée et de l’appelée en cause, A.O.________ et B.O.________ leur verseront, solidairement entre eux, de pleins dépens de deuxième instance, à hauteur de 2'500 fr. pour l’intimée Q.________ et de 1'500 fr. pour l’appelée en cause J.________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