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146 vom 2. März 2021</w:t>
      </w:r>
    </w:p>
    <w:p>
      <w:r>
        <w:t>VD Tribunal cantonal, 2021-03-02, FR</w:t>
      </w:r>
    </w:p>
    <w:p>
      <w:r>
        <w:rPr>
          <w:b/>
        </w:rPr>
        <w:t xml:space="preserve">Quelle: </w:t>
      </w:r>
      <w:r>
        <w:t>https://mcp.opencaselaw.ch/entscheid/vd_findinfo_HC___2021___146</w:t>
      </w:r>
    </w:p>
    <w:p>
      <w:r>
        <w:t>FR: VD_FINDINFO HC / 2021 / 146 du 2 mars 2021</w:t>
      </w:r>
    </w:p>
    <w:p>
      <w:r>
        <w:t>IT: VD_FINDINFO HC / 2021 / 146 del 2 marzo 2021</w:t>
      </w:r>
    </w:p>
    <w:p>
      <w:pPr>
        <w:pStyle w:val="Heading2"/>
      </w:pPr>
      <w:r>
        <w:t>Regeste</w:t>
      </w:r>
    </w:p>
    <w:p>
      <w:r>
        <w:t>ACTION EN LIBÉRATION DE DETTE, ACTE DE DÉFAUT DE BIENS, REJET DE LA DEMANDE | 149 al. 2 LP, 83 al. 2 LP</w:t>
      </w:r>
    </w:p>
    <w:p>
      <w:pPr>
        <w:pStyle w:val="Heading2"/>
      </w:pPr>
      <w:r>
        <w:t>Erwägungen</w:t>
      </w:r>
    </w:p>
    <w:p>
      <w:r>
        <w:rPr>
          <w:b/>
        </w:rPr>
        <w:t>E. 1</w:t>
      </w:r>
    </w:p>
    <w:p>
      <w:r>
        <w:t>Le recours est recevable contre les décisions finales de première instance qui ne peuvent faire l’objet d’un appel (art. 319 let. a CPC [Code de procédure civile du 19 décembre 2008 ; RS 272]), soit notamment dans les affaires patrimoniales dont la valeur litigieuse, au dernier état des conclusions, est inférieure à 10'000 fr. (cf. art. 308 al. 2 CPC). Le recours, écrit et motivé, doit être introduit auprès de l’instance de recours dans les 30 jours à compter de la notification de la décision motivée ou de la notification postérieure de la motivation (art. 321 al. 1 CPC). En l’espèce, formé en temps utile par une partie qui a un intérêt digne de protection (art. 59 al.</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op. cit., n. 5 et 6 ad art. 320 CPC ; Corboz, Commentaire de la LTF, 2 e éd., Berne 2014, n. 27 ad art. 97 LTF). Les conclusions, les allégations de fait et les preuves nouvelles sont irrecevables (art. 326 al. 1 CPC).</w:t>
      </w:r>
    </w:p>
    <w:p>
      <w:r>
        <w:rPr>
          <w:b/>
        </w:rPr>
        <w:t>E. 3.1</w:t>
      </w:r>
    </w:p>
    <w:p>
      <w:r>
        <w:t>Le recourant soutient que les éléments fournis par le créancier n'étaient pas suffisants pour prouver l'existence de ses créances.</w:t>
      </w:r>
    </w:p>
    <w:p>
      <w:r>
        <w:rPr>
          <w:b/>
        </w:rPr>
        <w:t>E. 3.2.1</w:t>
      </w:r>
    </w:p>
    <w:p>
      <w:r>
        <w:t>L'action en libération de dette prévue à l'art. 83 al. 2 LP (loi fédérale sur la poursuite pour dettes et la faillite du 11 avril 1889 ; RS 281.1)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au poursuivant) d'établir que la créance litigieuse a pris naissance, par exemple en produisant une reconnaissance de dette. Quant au demandeur (i.e. au poursuivi), il devra établir la non-existence ou le défaut d'exigibilité de la dette constatée par le titre de mainlevée provisoire (ATF 131 III 268 consid. 3.1 ; ATF 130 III 285 consid. 5.3.1 ; TF 5A_70/2018 consid. 3.3.1.3).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consid. 3.2; Schwenzer/Fountoulakis, Basler Kommentar, OR, 7 e éd., 2020, n. 2 ad art. 17 CO [Code des obligations du 30 mars 1911 ; RS 220]; Tevini du Pasquier, Commentaire romand, CO, 2 e éd., 2012,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consid. 3.2; Schwenzer/Fountoulakis, op. cit., n. 5 ad art. 17 CO et les réf. citées). Dans les deux cas, la reconnaissance de dette est valable (art. 17 CO [Code des obligations du 30 mars 1911 - RS 220]). La cause sous-jacente doit cependant exister et être valable (ATF 105 II 183 c. 4a, JT 1980 I 221; Tevini du Pasquier, op. cit., n. 2 ad art. 17 CO; Engel, Traité des obligations en droit suisse, 2 e édition, Berne 1997, p. 157). En effet, en droit suisse, la reconnaissance de dette, même abstraite, a pour objet une obligation causale (ATF 105 II 183 c. 4a, JT 1980 I 221), l'article 17 CO n'ayant pas d'incidence sur l'existence matérielle de l'obligation du débiteur (ATF 131 III 268 consid. 3.2).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consid. 3.2; ATF 96 II 383 consid. 3a, JT 1972 I 150).</w:t>
      </w:r>
    </w:p>
    <w:p>
      <w:r>
        <w:rPr>
          <w:b/>
        </w:rPr>
        <w:t>E. 3.2.2</w:t>
      </w:r>
    </w:p>
    <w:p>
      <w:r>
        <w:t>Aux termes de l'art. 149 al. 2 LP, l'acte de défaut de biens après saisie vaut comme reconnaissance de dette dans le sens de l'art. 82 LP et confère les droits mentionnés aux art. 271 ch. 5 et 285 LP. Il permet au créancier d'obtenir la mainlevée provisoire d'une éventuelle opposition formulée dans le cadre d'une poursuite ultérieure (Jeandin, Poursuite pour dettes et faillites, Actes de défaut de défaut de biens et certificat d'insuffisance de gage, in FJS 990, p. 7). D'après une jurisprudence constante, l'acte de défaut de biens après saisie n'est qu'une déclaration officielle attestant que la procédure d'exécution forcée n'a pas conduit, totalement ou partiellement, au paiement de la créance; il ne constitue pas une reconnaissance de dette dans son acception technique, car le poursuivi n'intervient en rien dans son établissement et n'émet aucune déclaration de volonté concernant le fond du droit (TF 4P.126/2003 du 25 août 2003; ATF 116 III 66 consid. 4a, JT 1992 II 142; ATF 102 la 363 consid. 2a, JT 1978 Il 108; ATF 98 la 353 consid. 2; Gilliéron, Commentaire de la loi sur la poursuite pour dettes et faillite, Lausanne 2000, nn. 17 ss ad art. 149 LP). Bien qu'il constitue un titre public au sens de l'art. 9 CC (Code civil suisse du 10 décembre 1907) (Rey-Mermet, Commentaire romand, Poursuite et faillite, Bâle 2005, n. 15 ad art. 149 LP), ce n'est toutefois pas un papier-valeur et il n'emporte pas novation de la dette ou création d'un rapport de droit nouveau (TF 4P.126/2003 du 25 août 2003; ATF 98 la 353, JT 1973 II 67; Näf, Kurzkommentar, SchKG, n. 6 et 7 ad art. 149 LP; Rey-Mermet, op. cit., nn. 16 et 17 ad art. 149 LP; Gilliéron, op. cit., nn. 17 et 20 ad art. 149 LP; Huber, Basler Kommentar, SchKG I, 2 e éd., Bâle 2020, n. 44 et 45 ad art. 149 LP). N'ayant qu'un effet constatatoire, l'acte de défaut de biens n'exerce aucun effet sur le rapport juridique de base (Rey-Mermet, op. cit., n. 17 ad art. 149 LP et les réf. citées). Il renverse la présomption de solvabilité (Gilliéron, op. cit., n. 51 ad art. 149 LP). Il ne dispense toutefois pas le créancier d'alléguer et de prouver les faits à l'origine de la créance dont il poursuit le recouvrement (Näf, op. cit., n. 7 ad art. 149 LP; Gilliéron, op. cit., n. 53 ad art. 149 LP; Huber, op. cit., n. 42 ad art. 149 LP; Jeandin, op. cit., p. 7). Il constitue non pas une preuve directe, mais un indice de l'existence de la créance du poursuivant à qui il a été délivré, indice qui peut avoir, selon les circonstances, une portée décisive (Gilliéron, op. cit., n. 21 ad art. 149 LP), notamment lorsque, soit à cause de l'ancienneté des événements, soit pour des motifs semblables, le créancier se trouve dans l'impossibilité d'invoquer d'autres moyens de preuve (ATF 102 la 363 précité c. 2c, JT 1978 II 108; ATF 69 III 89 précité c. lb, JT 1944 II 92). Puisqu'un tel acte ne prouve pas l'existence de la créance (TF 4P.126/2003 du 25 août 2003 et les réf. citées; Huber, op. cit., n. 42 ad art. 149 LP), le poursuivi conserve la faculté de discuter la prétention lors d'une procédure ultérieure, que ce soit par la voie de l'action en libération de dette ou celle de l'action en annulation de la poursuite (TF 4P.126/2003 du 25 août 2003 consid. 2.3; Gilliéron, op. cit., nn. 53 et 54 ad art. 149 LP). Le poursuivi peut dès lors invoquer toutes les exceptions à sa disposition selon l'art. 82 al. 2 LP (Näf, op. cit., n. 7 ad art. 149 LP; Rey-Mermet, op. cit., n. 18 ad art. 149 LP; Huber, op. cit., n. 41 ad art. 149 LP).</w:t>
      </w:r>
    </w:p>
    <w:p>
      <w:r>
        <w:rPr>
          <w:b/>
        </w:rPr>
        <w:t>E. 3.3</w:t>
      </w:r>
    </w:p>
    <w:p>
      <w:r>
        <w:t>La poursuite n o [...] est fondée sur l'acte de défauts de biens n o [...] du 9 septembre 1998, lui-même fondé sur un acte de défaut de biens du 28 avril 1994 n o [...]. Elle concernerait des prestations fournies par le CHUV le 26 juin 1993 au recourant, alors que celui-ci conteste en avoir bénéficié. Quant à la poursuite n o [...], elle est fondée sur l'acte de défauts de biens n o [...] du 9 septembre 1998, lui-même fondé sur un acte de défaut de biens du 28 avril 1994 n o [...]. Elle concernerait des prestations fournies par le CHUV les 31 mai et 31 décembre 1993 au recourant, alors que celui-ci conteste en avoir bénéficié. Dans ses recours, le recourant se contente de contester l’appréciation du premier juge, de manière sommaire. En particulier, il soutient que les actes de défaut de biens en question ne suffiraient pas à établir le bien-fondé des créances, de sorte que cet élément devrait être écarté. Son argumentation se heurte toutefois à la jurisprudence précitée, selon laquelle il s'agit d'un indice qui doit être pris en compte, indice qui peut même être décisif selon les circonstances, notamment en raison de l’ancienneté des événements, comme cela est précisément le cas en l’espèce. Le recourant fait ensuite valoir que les pièces produites par le CHUV n’auraient pas de force probante, dès lors qu’il en est lui-même l’auteur. Si ces pièces ne constituent pas des preuves irréfutables, elles viennent néanmoins appuyer la thèse du défendeur en bénéficiant d’une valeur probante dans la mesure où le CHUV est un établissement public et où l’extrait informatique produit comprend le nom, le numéro et la date de naissance du patient – en l’occurrence Q.________ –, ainsi que la mention des dates d'admission, soit les 31 mai 1992, 31 décembre 1992 et 26 juin 1993. Enfin, le recourant soutient que le fait qu'il n'ait jamais contesté les créances au préalable et qu’il ait tenté un règlement extra-judiciaire pour assainir sa situation financière ne constitueraient pas des éléments pertinents en faveur de l’intimé. Si cet élément n’est certes pas déterminant, force est d’admettre qu’il renforce tout de même la version des faits de l’intimé, dès lors qu’il est peu vraisemblable que le recourant ne se soit pas opposé à des poursuites liées à des prestations inexistantes du CHUV. En définitive, l'analyse juridique du premier juge doit être entièrement confirmée.</w:t>
      </w:r>
    </w:p>
    <w:p>
      <w:r>
        <w:rPr>
          <w:b/>
        </w:rPr>
        <w:t>E. 4</w:t>
      </w:r>
    </w:p>
    <w:p>
      <w:r>
        <w:t>Au vu de ce qui précède, les recours doivent être rejetés et les décisions confirmées. Les frais judiciaires de deuxième instance, arrêtés à 500 fr. (art. 69 al. 1 TFJC [tarif des frais judiciaires civils du 28 septembre 2010 ; RSV 270.11.5]), seront mis à la charge du recourant, qui succombe (art. 106 al. 1 CPC). Il ne sera pas alloué de dépens, l’intimé n’ayant pas été invité à se déterminer sur les recours. Par ces motifs, la Chambre des recours civile du Tribunal cantonal, en application de l'art. 322 al. 1 CPC, prononce : I. Les causes sont jointes. II. Les recours sont rejetés. III. Les décisions sont confirmées. IV. Les frais judiciaires de deuxième instance, arrêtés à 500 fr. (cinq cents francs), sont mis à charge du recourant Q.________. V. L'arrêt est exécutoire. Le président :               La greffière : Du L'arrêt qui précède est notifié en expédition complète, par l'envoi de photocopies, à : ‑ Julien Greub, aab (pour Q.________), ‑ Etat de Vaud, DGAIC, Direction des affaires juridiques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