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1047 vom 30. November 2021</w:t>
      </w:r>
    </w:p>
    <w:p>
      <w:r>
        <w:t>VD Tribunal cantonal, 2021-11-30, FR</w:t>
      </w:r>
    </w:p>
    <w:p>
      <w:r>
        <w:rPr>
          <w:b/>
        </w:rPr>
        <w:t xml:space="preserve">Quelle: </w:t>
      </w:r>
      <w:r>
        <w:t>https://mcp.opencaselaw.ch/entscheid/vd_findinfo_HC___2021___1047</w:t>
      </w:r>
    </w:p>
    <w:p>
      <w:r>
        <w:t>FR: VD_FINDINFO HC / 2021 / 1047 du 30 novembre 2021</w:t>
      </w:r>
    </w:p>
    <w:p>
      <w:r>
        <w:t>IT: VD_FINDINFO HC / 2021 / 1047 del 30 novembre 2021</w:t>
      </w:r>
    </w:p>
    <w:p>
      <w:pPr>
        <w:pStyle w:val="Heading2"/>
      </w:pPr>
      <w:r>
        <w:t>Regeste</w:t>
      </w:r>
    </w:p>
    <w:p>
      <w:r>
        <w:t>TRANSACTION JUDICIAIRE, EXÉCUTION FORCÉE | 338 CPC (CH), 341 CPC (CH), 342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2 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En l’espèce, le recours a été déposé en temps utile par une partie qui a un intérêt digne de protection (art. 59 al. 2 let. a CPC) contre une décision de refus d’exécution forcée, de sorte qu’il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[ZPO],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w:t>
      </w:r>
    </w:p>
    <w:p>
      <w:r>
        <w:rPr>
          <w:b/>
        </w:rPr>
        <w:t>E. 2.2</w:t>
      </w:r>
    </w:p>
    <w:p>
      <w:r>
        <w:t>Les pièces nouvelles sont irrecevables en procédure de recours (art. 326 al. 1 CPC). Les pièces produites par D.________ (ci-après : l’intimée) ne figurent pas au dossier de première instance, de sorte qu’elles sont irrecevables.</w:t>
      </w:r>
    </w:p>
    <w:p>
      <w:r>
        <w:rPr>
          <w:b/>
        </w:rPr>
        <w:t>E. 3.1</w:t>
      </w:r>
    </w:p>
    <w:p>
      <w:r>
        <w:t>F.Q.________ (ci-après : le recourant) se plaint d’une violation de son droit d’être entendu sous la forme d’une violation du droit à la motivation, la décision étant selon lui insuffisante à cet égard. De son côté, l’intimée fait valoir que la motivation de la décision, bien que brève, s’avèrerait suffisante.</w:t>
      </w:r>
    </w:p>
    <w:p>
      <w:r>
        <w:rPr>
          <w:b/>
        </w:rPr>
        <w:t>E. 3.2</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Le droit d'être entendu est une garantie de nature formelle, dont la violation entraîne en principe l'annulation de la décision attaquée, indépendamment des chances de succès du recours sur le fond (ATF 144 I 11 consid. 5.3 ; ATF 143 IV 380 consid. 1.4.1 ; TF 5A_70/2021 du 18 octobre 2021 consid. 3.1). Ce droit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 ATF 139 IV 179 consid. 2.2 ; TF 6B_138/2021 du 23 septembre 2021 consid. 3.1).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ATF 134 I 83 consid. 4.1 ; TF 4A_266/2020 du 23 septembre 2020 consid. 4.1 ; TF 4A_482/2020 du 22 février 2021 consid. 5.1).</w:t>
      </w:r>
    </w:p>
    <w:p>
      <w:r>
        <w:rPr>
          <w:b/>
        </w:rPr>
        <w:t>E. 3.3</w:t>
      </w:r>
    </w:p>
    <w:p>
      <w:r>
        <w:t>En l’espèce, les positions et l’argumentation des parties étaient en complète et symétrique opposition. Adopter l’une revenait à rejeter l’autre. C’est ainsi qu’a procédé le premier juge sans qu’on puisse reprocher à sa décision une violation du droit à la motivation, celle-ci étant suffisante pour l’attaquer utilement. D’ailleurs, le recourant a été en mesure de contester les motifs de ladite décision devant l’autorité de recours (cf. infra consid. 4.1). Le moyen doit être rejeté.</w:t>
      </w:r>
    </w:p>
    <w:p>
      <w:r>
        <w:rPr>
          <w:b/>
        </w:rPr>
        <w:t>E. 4.1</w:t>
      </w:r>
    </w:p>
    <w:p>
      <w:r>
        <w:t>Le recourant conteste le bien-fondé des deux motifs retenus par le premier juge pour rejeter sa requête. Il soutient que le motif tiré du financement impliquerait de revenir sur un point qui relèverait du juge du fond, soit la soulte qu’il s’est engagé à verser à sa cohéritière. Quant au risque de déclassement, le recourant fait valoir qu’il ne s’agirait pas d’un fait nouveau mettant l’exécution de l’accord en échec. Il souligne que le mandat confié à un notaire déterminé ne saurait faire obstacle à l’exécution. Pour sa part, l’intimée fait valoir que la transaction judiciaire serait soumise à une condition au sens de l’art. 342 CPC, non vérifiée en l’espèce, soit que le recourant dispose effectivement du financement nécessaire. De plus, le risque de déclassement du terrain constituerait un fait nouveau justifiant la non-exécution en l’état. Selon l’intimée, l’accord impliquant la mise en œuvre d’un notaire ne serait pas d’exécution directe.</w:t>
      </w:r>
    </w:p>
    <w:p>
      <w:r>
        <w:rPr>
          <w:b/>
        </w:rPr>
        <w:t>E. 4.2.1</w:t>
      </w:r>
    </w:p>
    <w:p>
      <w:r>
        <w:t>La transaction judiciaire a la portée d’un jugement si bien qu’elle est susceptible d’exécution forcée (TF 4A_43/2017 du 7 mars 2017 consid. 5 ; cf. ég. Colombini, Condensé de la jurisprudence fédérale et vaudoise, 2018, n. 1.1. ad art. 335 CPC). Si le tribunal qui a rendu la décision a ordonné les mesures d'exécution nécessaires (art. 236 al. 3 CPC), la décision peut être exécutée directement, sans qu'il soit nécessaire d'introduire une procédure d'exécution (exécution directe ; art. 337 CPC). La partie qui a obtenu gain de cause peut faire directement appel à la personne ou à l'autorité exécutive chargée de procéder à l'exécution forcée proprement dite (TF 5A_1047/2017 du 3 mai 2018 consid. 3.3.1 et les réf. doctrinales citées). Lorsque la décision ne peut pas être exécutée directement, une requête d'exécution doit être présentée au tribunal de l'exécution, juge du fond et autorité d'exécution étant alors dissociés (exécution indirecte ; art. 338 ss CPC ; ATF 142 III 587 consid. 3 ; TF 5A_1047/2017, déjà cité, consid. 3.3.1 ; cf. ég. Jeandin, op. cit., n. 1 ad art. 337 CPC).</w:t>
      </w:r>
    </w:p>
    <w:p>
      <w:r>
        <w:rPr>
          <w:b/>
        </w:rPr>
        <w:t>E. 4.2.2</w:t>
      </w:r>
    </w:p>
    <w:p>
      <w:r>
        <w:t>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(Jeandin, op. cit., nn. 1 à 3 ad art. 342 CPC ; pour un cas d'exécution forcée et de condition suspensive, cf. TF 4A_640/2014 du 17 avril 2015).</w:t>
      </w:r>
    </w:p>
    <w:p>
      <w:r>
        <w:rPr>
          <w:b/>
        </w:rPr>
        <w:t>E. 4.2.3</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 décembre 2019 consid. 3.3.2 ; TF 5A_167/2017 du 11 septembre 2017 consid. 6.2 ; TF 5D_124/2015 du 18 mai 2016 consid. 2.3.3 ; TF 4A_269/2012 du</w:t>
      </w:r>
    </w:p>
    <w:p>
      <w:r>
        <w:rPr>
          <w:b/>
        </w:rPr>
        <w:t>E. 4.3</w:t>
      </w:r>
    </w:p>
    <w:p>
      <w:r>
        <w:t>En l’espèce, il est manifeste que l’exécution de la convention de partage n’est pas directe au sens de l’art. 337 CPC, le juge du fond n’ayant pas ordonné des mesures contraignantes d’exécution nécessaires mais bien indirecte au sens de l’art. 338 CPC. C’est dès lors à raison que le recourant a saisi le tribunal de l’exécution. Contrairement à ce que soutient l’intimée, la convention de partage ne comporte pas de condition. Simultanément au partage foncier et à l’attribution des propriétés immobilières à chaque héritier, il est prévu que le recourant assume une obligation de reprise de dette hypothécaire et du versement d’une soulte de 325'000 fr. à l’intimée. Il s’agit-là d’une modalité du partage et non pas stricto sensu d’une contre-prestation – au sens des art. 82 et 83 CO (Code des obligations du 30 mars 1911 ; RS 220), soit d’une prestation se situant dans un rapport bilatéral d’échange (cf. Jeandin, op. cit. n. 2 ad art. 343 CPC) – subordonnée à la prestation visée par la procédure d’exécution. Quoi qu’il en soit, la décision attaquée ne constate pas que le recourant refuserait d’assumer ses obligations financières, mais qu’il devra réactualiser les financements bancaires dont il a besoin pour honorer ses engagements lors de l’exécution du partage. Cette réactualisation, qui devra se concrétiser en fonction de la date de l’instrumentation, ne saurait être assimilée à un refus prouvé de contre-prestation, si bien qu’en l’état l’art. 342 CPC ne fait pas obstacle à l’exécution forcée. Pour ce qui est finalement du risque de déclassement administratif de zone à bâtir en zone agricole, ce fait concerne, le cas échéant, l’exploitation et la valeur vénale des surfaces, mais il ne s’agit pas d’une objection touchant au droit matériel comme l’extinction de la prétention, la paralysie du droit ou le report de l’exigibilité (cf. Jeandin, op. cit., nn. 15 et 16 ad art. 341 CPC). Dans la mesure où ce fait ne porte pas sur l’exécution du partage, celle-ci doit être ordonnée. 5. 5.1 Au vu de ce qui précède, le recours doit être admis et la décision entreprise réformée en ce sens que la requête d’exécution forcée est admise, que l’exécution forcée de la convention du 7 novembre 2018 est ordonnée, que la notaire [...] est invitée à accomplir les actes nécessaires à l’exécution du partage tel que prévu par la convention et qu’ordre est donné à l’intimée, sous menace de la peine d’amende prévue à l’art. 292 CP, de collaborer à cette exécution forcée. Il convient également de réformer la décision entreprise en ce sens que les frais judiciaires de première instance, arrêtés à 800 fr. (art. 82 TFJC [tarif des frais judiciaires civils du 28 septembre 2010 ; BLV 270.11.5]), sont mis à la charge de l’intimée, qui doit verser cette somme à l’appelant, à titre de restitution de son avance de frais (art. 111 al. 2 CPC). L’intimée doit en outre verser à l’appelant la somme de 2'000 fr. à titre de dépens de première instance (art. 6 TDC [tarif des dépens en matière civile du 23 novembre 2010 ; BLV 270.11.6]). En définitive, l’intimée devra verser à l’appelant la somme de 2'800 fr. à titre de dépens et de restitution d’avance de frais de première instance (art. 111 al. 2 CPC). 5.2 Les frais judiciaires de deuxième instance, arrêtés à 1'200 fr. (art. 69 al. 1 TFJC), seront mis à la charge de l’intimée, qui succombe (art. 106 al. 1 CPC). L’intimée versera au recourant cette somme au tire de remboursement de son avance de frais (art. 111 al. 2 CPC). L’intimée versera en outre au recourant la somme de 1'200 fr. à titre de dépens de deuxième instance (art. 8 TDC). En définitive, l’intimée versera au recourant la somme de 2'400 fr. à titre de restitution d’avance de frais et de dépens de deuxième instance. Par ces motifs, la Chambre des recours civile du Tribunal cantonal, prononce : I. Le recours est admis. II. La décision est réformée comme il suit : I. admet la requête d’exécution forcée déposée le 27 mai 2021 par F.Q.________; I bis . ordonne l’exécution de la convention du 7 novembre 2018 ratifiée pour valoir jugement de partage ; I ter . invite la notaire [...] à accomplir les actes nécessaires à l’exécution du partage tel que prévu par la convention ; I quater . ordonne à D.________, sous menace de la peine d’amende prévue à l’art. 292 CP, de collaborer à la bonne et prompte exécution du partage ; II. fixe les frais de la présente procédure à 800 fr. (huit cents francs) et les met à la charge de D.________ ; III. dit que D.________ doit verser à F.Q.________ la somme de 2'800 fr. (deux mille huit cents francs) à titre de dépens et de restitution d’avance de frais ; IV. raye la cause du rôle. III. Les frais judiciaires de deuxième instance, arrêtés à 1'200 fr. (mille deux cents francs), sont mis à la charge de l’intimée D.________. IV. L’intimée D.________ doit verser au recourant F.Q.________ la somme de 2'400 fr. (deux mille quatre cents francs) à titre de restitution d’avance de frais et de dépens de deuxième instance. V. L’arrêt est exécutoire. Le président :               La greffière : Du L'arrêt qui précède, dont la rédaction a été approuvée à huis clos, est notifié à : ‑ Me Bertrand Gygax (pour F.Q.________), ‑ Me Paul-Arthur Treyvaud (pour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Juge de paix des districts du Jura – Nord vaudois et du Gros-de-Vaud. La greffière :</w:t>
      </w:r>
    </w:p>
    <w:p>
      <w:r>
        <w:rPr>
          <w:b/>
        </w:rPr>
        <w:t>E. 7</w:t>
      </w:r>
    </w:p>
    <w:p>
      <w:r>
        <w:t>décembre 2012 consid. 4.1). L’intimé à l’exécution doit notamment alléguer et prouver que les faits fondant son objection se sont produits postérieurement au jugement (TF 5D_178/2019 du 26 mai 2020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