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1044 vom 8. Dezember 2021</w:t>
      </w:r>
    </w:p>
    <w:p>
      <w:r>
        <w:t>VD Tribunal cantonal, 2021-12-08, FR</w:t>
      </w:r>
    </w:p>
    <w:p>
      <w:r>
        <w:rPr>
          <w:b/>
        </w:rPr>
        <w:t xml:space="preserve">Quelle: </w:t>
      </w:r>
      <w:r>
        <w:t>https://mcp.opencaselaw.ch/entscheid/vd_findinfo_HC___2021___1044</w:t>
      </w:r>
    </w:p>
    <w:p>
      <w:r>
        <w:t>FR: VD_FINDINFO HC / 2021 / 1044 du 8 décembre 2021</w:t>
      </w:r>
    </w:p>
    <w:p>
      <w:r>
        <w:t>IT: VD_FINDINFO HC / 2021 / 1044 del 8 dicembre 2021</w:t>
      </w:r>
    </w:p>
    <w:p>
      <w:pPr>
        <w:pStyle w:val="Heading2"/>
      </w:pPr>
      <w:r>
        <w:t>Regeste</w:t>
      </w:r>
    </w:p>
    <w:p>
      <w:r>
        <w:t>FRAIS JUDICIAIRES, AVANCE DE FRAIS, ADMISSION DE LA DEMANDE, APPEL EN CAUSE, CALCUL | 18 TFJC, 19 TFJC, 9 TFJC, 103 CPC (CH), 98 CPC (CH)</w:t>
      </w:r>
    </w:p>
    <w:p>
      <w:pPr>
        <w:pStyle w:val="Heading2"/>
      </w:pPr>
      <w:r>
        <w:t>Erwägungen</w:t>
      </w:r>
    </w:p>
    <w:p>
      <w:r>
        <w:rPr>
          <w:b/>
        </w:rPr>
        <w:t>E. 1.1</w:t>
      </w:r>
    </w:p>
    <w:p>
      <w:r>
        <w:t>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Commentaire romand, Code de procédure civile, 2 e éd., Bâle 2019 [cité ci-après : CR CPC], n. 11 ad art. 103 CPC), le délai de recours est de dix jours (art. 321 al. 2 CPC). Le recours doit être introduit auprès de l'instance de recours, soit la Chambre des recours civile (art. 73 LOJV [loi d'organisation judiciaire du 12 décembre 1979 ; BLV 173.01]).</w:t>
      </w:r>
    </w:p>
    <w:p>
      <w:r>
        <w:rPr>
          <w:b/>
        </w:rPr>
        <w:t>E. 1.2</w:t>
      </w:r>
    </w:p>
    <w:p>
      <w:r>
        <w:t>En l’espèce, interjeté en temps utile par des parties qui ont un intérêt digne de protection (art. 59 al. 2 let. a CPC), le recours, écrit et motivé,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CR CPC, op. cit.,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citées). Le pouvoir d’examen de la Chambre des recours est donc limité à l’arbitraire s’agissant des faits retenus par l’autorité précédente (TF 4D_30/2017 du 5 décembre 2017 consid. 2.2 et les réf. citées).</w:t>
      </w:r>
    </w:p>
    <w:p>
      <w:r>
        <w:rPr>
          <w:b/>
        </w:rPr>
        <w:t>E. 3.1</w:t>
      </w:r>
    </w:p>
    <w:p>
      <w:r>
        <w:t>Le recourant conteste la forme l’avance de frais, non signée, qui émanerait d'un greffier et non pas d'un juge, lequel greffier agirait en outre par l'intermédiaire d'une gestionnaire de dossiers. Il soutient ainsi que le prononcé aurait été rendu par une personne incompétente et signée par une autre personne qui le serait tout autant, en violation des art. 98 et 124 CPC et 42 CDPJ. L'avis entrepris serait dès lors nul.</w:t>
      </w:r>
    </w:p>
    <w:p>
      <w:r>
        <w:rPr>
          <w:b/>
        </w:rPr>
        <w:t>E. 3.2</w:t>
      </w:r>
    </w:p>
    <w:p>
      <w:r>
        <w:t>La délégation de certaines tâches à un greffier figure dans la LOJV, où il est prévu que certaines compétences de gestion peuvent être déléguées au greffier (art. 95 al. 1 LOJV ; pour le TF, art. 24 LTF ; Wurzburger, Commentaire de la LTF 2009, n. 15 ad art. 24 LTF). En outre, une délégation de signature peut être octroyée à un gestionnaire de dossier par directive interne. A cela s'ajoute que ni la CEDH (Convention de sauvegarde des droits de l'homme et des libertés fondamentales du 4 novembre 1950 ; RS 0.101) ni les garanties constitutionnelles de procédure ne garantissent qu'un juge signe la décision (CREC 30 novembre 2020/259 ; TF 4A_184/2017 du 16 mai 2017 consid. 1 ; TF 4A_20/2011 du 11 avril 2011 consid. 6, RSPC 2011 p. 317 note Tappy ; Colombini, Code de procédure civile, Condensé de la jurisprudence fédérale et vaudoise, Lausanne 2018, n. 3.1 ad art. 238 CPC). La signature d’une décision d’avance de frais par le seul greffier ou gestionnaire de dossier, qui agit sur instruction du juge en charge du dossier, ne justifie pas l’annulation de la décision, d’autant plus si la partie n’a pas demandé la rectification du vice (JdT 2021 III 66). L'absence de signature valable ne justifie en outre pas l'annulation de la décision, mais sa rectification (Tappy, CR CPC, op. cit., n. 16 ad art. 238). Il s'agit d'un vice de forme et le principe de la bonne foi impose aux parties de signaler immédiatement ce vice au tribunal afin qu'il le corrige (Tappy, ibidem ). Enfin, la décision relative à l'avance de frais est une ordonnance d'instruction sans contenu matériel qui génère, de par sa nature, des exigences moins élevées d'un point de vue formel (moindre formalisme) (Tappy, CR CPC, op. cit., n. 20 ad art. 239 CPC ; cf. ég. TF 9C_511/2014 du 26 septembre 2014). Le Code de procédure civile ne précise pas quelles sont les exigences formelles en ce qui concerne les demandes en matière d'avance de frais et le Tribunal fédéral ne s'est pas encore prononcé directement sur cette question (TF 5A_327/327/2014 consid. 3.2).</w:t>
      </w:r>
    </w:p>
    <w:p>
      <w:r>
        <w:rPr>
          <w:b/>
        </w:rPr>
        <w:t>E. 3.3</w:t>
      </w:r>
    </w:p>
    <w:p>
      <w:r>
        <w:t>En l’espèce, s’agissant tant du principe que de la quotité de l’avance de frais, le greffier ainsi que le gestionnaire de dossiers agissent sur instruction du juge en charge du dossier, qui demeure compétent en la matière, ce qui exclut tout pouvoir décisionnel des prénommés. En outre, en accord avec la doctrine citée ci-dessus, l’absence de signature ne justifierait quoiqu'il en soit pas l’annulation de la décision, mais sa rectification. Or le recourant n’a rien entrepris dans cette perspective ; il est dès lors abusif de s’en prévaloir dans le cadre de la procédure de recours seulement. On ne voit enfin pas en quoi le vice dénoncé serait à même de créer pour les parties un préjudice concret justifiant de constater la nullité de la décision, qui doit demeurer exceptionnelle (TF 4A_224/2017 du 27 juin 2017 consid. 2.3.2). En définitive, le vice de forme dénoncé est sans incidence sur la question à trancher, soit la validité de l'avance de frais.</w:t>
      </w:r>
    </w:p>
    <w:p>
      <w:r>
        <w:rPr>
          <w:b/>
        </w:rPr>
        <w:t>E. 4.1</w:t>
      </w:r>
    </w:p>
    <w:p>
      <w:r>
        <w:t>Le recourant fait valoir que, selon la loi et les jurisprudences développées en la matière, la décision attaquée aurait dû, ne serait-ce que sommairement, contenir une motivation pour expliquer pourquoi les limites usuelles cantonales ne sont pas respectées. La décision violerait dès lors son droit d’être entendu, faute de motivation. En outre, il serait disproportionné d’arrêter l’avance de frais à 14'500 fr., alors que les conclusions de l’appel en cause seraient limitées à 11'800 francs.</w:t>
      </w:r>
    </w:p>
    <w:p>
      <w:r>
        <w:rPr>
          <w:b/>
        </w:rPr>
        <w:t>E. 4.2.1</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CR CPC, op. cit., n. 3 ad art. 98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(Sutter/von Holzen, Kommentar zur Schweizerischen Zivilprozessordnung [ZPO], 3 e éd., Zurich 2016, n. 10 ad art. 98 CPC). Pour déterminer le montant des frais judiciaires présumés, il y a lieu de se référer au tarif des frais prévu par le droit cantonal (art. 96 CPC). En droit vaudois, l'art. 9 al. 2 TFJC (tarif des frais judiciaires civils du 28 septembre 2010 ; BLV 270.11.5) prévoit qu'en cas d'admission d'une requête d'intervention principale ou d'appel en cause, la partie requérante avance l'émolument de décision au fond prévu pour ses conclusions, mais au minimum l'émolument de partie supplémentaire prévu pour ladite décision. Selon l'art. 10 al. 1 TFJC, seuls des motifs d'équité justifient la renonciation à exiger tout ou partie de l'avance de frais. L’art. 18 TFJC concernant l’émolument forfaitaire dans les litiges patrimoniaux en procédure ordinaire prévoit un émolument de 3'750 fr. pour une valeur litigieuse oscillant entre 0 et 30'000 francs. Pour une valeur litigieuse identique lorsque le procès met en cause plus de deux parties, l’art. 19 TFJC majore l’émolument forfaire de 1'875 fr. par partie supplémentaire.</w:t>
      </w:r>
    </w:p>
    <w:p>
      <w:r>
        <w:rPr>
          <w:b/>
        </w:rPr>
        <w:t>E. 4.2.2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afin que l'intéressé puisse se rendre compte de la portée de celle-ci et l'attaquer en connaissance de cause (ATF 133 I 270 consid. 3.1, JdT 2011 IV 3 ; ATF 130 II 530 consid. 4.3). La garantie d'un procès équitable, y compris celle du droit d'être entendu, n'exclut toutefois pas que des émoluments ou avances de frais soient exigés des plaideurs, ni que des délais soient fixés pour l'exécution de ces prestations pécuniaires, sous peine, en cas de retard, de refus d'entrer en matière sur les conclusions ou réquisitions présentées (TF 4D_69/2016 du 19 mai 2016, consid. 4.2.4 ; ATF 133 V 402 consid. 3.3 et ATF 124 I 322 consid. 4d p. 325). Il n’y a pas place pour le droit d’être entendu avant l’avis d’avance de frais, la décision étant provisoire et ne préjugeant pas du sort final de la cause. Ceci est vrai même si une règle de droit matériel de répartition des frais judiciaires devra être prise en compte dans le jugement (JdT 2021 III 66 ; CREC 21 juin 2021/175 ; CREC 30 novembre 2020/258). Une partie qui voudrait faire valoir des éléments susceptibles d’influencer le montant de l’avance de frais doit les avancer spontanément, le demandeur pouvant notamment le faire dans sa demande ou dans une écriture produite en même temps que celle-ci (CREC 23 juin 2021/181).</w:t>
      </w:r>
    </w:p>
    <w:p>
      <w:r>
        <w:rPr>
          <w:b/>
        </w:rPr>
        <w:t>E. 4.3</w:t>
      </w:r>
    </w:p>
    <w:p>
      <w:r>
        <w:t>En l’espèce, au vu de la jurisprudence précitée, la garantie du droit d’être entendu ne trouve pas application dans le cadre d’un prononcé arrêtant l’avance de frais. Le fait que le prononcé n'indique pas les modalités de fixation de l’avance de frais n’est donc pas constitutif d’une violation du droit d’être entendu du recourant. Le grief est en revanche fondé pour ce qui est de la quotité de l’avance de frais. En effet, on ne perçoit pas ce qui justifierait une avance de frais supérieure aux prétentions élevées par le recourant contre les appelés en cause. Dans le cas d'espèce, contrairement à ce que soutient le recourant, la communauté héréditaire n'est pas à considérer comme une seule partie, celle-ci n'ayant pas la personnalité juridique ni la qualité d'ester en justice (ATF 136 III 123, consid. 4.4.1 ; ATF 116 lb 447 consid. 2a), contrairement à ses membres au nombre de trois, sans que leur qualité de consorts nécessaires ne permette de réduire ce nombre à un. Ainsi, sur la base du tarif, l’émolument serait de 3'750 fr. en application de l’art. 18 TFJC et de 5'625 fr. (1'875 fr. x 3) pour trois parties sur la base de l’art. 19 TFJC. En vertu de l’art 9 al. 2 TFJC dont on a vu qu’il prévoyait que l’émolument soit au minimum celui de partie supplémentaire, l’avance de frais judiciaires pour la procédure de première instance aurait dû être arrêté au montant de 5'625 fr. qui est supérieur à l’émolument prévu par l’art. 18 TFJC.</w:t>
      </w:r>
    </w:p>
    <w:p>
      <w:r>
        <w:rPr>
          <w:b/>
        </w:rPr>
        <w:t>E. 5.1</w:t>
      </w:r>
    </w:p>
    <w:p>
      <w:r>
        <w:t>Pour ces motifs, la conclusion plus que subsidiaire doit être admise et la décision réformée dans le sens de ce qui précède, la cause étant au surplus renvoyée au premier juge pour qu’il impartisse au recourant un nouveau délai pour verser l’avance de frais dans le sens des considérants.</w:t>
      </w:r>
    </w:p>
    <w:p>
      <w:r>
        <w:rPr>
          <w:b/>
        </w:rPr>
        <w:t>E. 5.2</w:t>
      </w:r>
    </w:p>
    <w:p>
      <w:r>
        <w:t>Vu l’issue du recours, les frais judiciaires de deuxième instance, arrêtés à 400 fr. (art. 69 al. 1 et 70 al. 3 TFJC), seront laissés à la charge de l’Etat (art. 107 al. 2 CPC). L’avance de frais versée par le recourant, par 400 fr., lui sera ainsi restituée. Il n’y a pas lieu à l’allocation de dépens de deuxième instance, comme le requiert le recourant, l'Etat ne pouvant pas être considéré comme une partie succombante (ATF 139 III 471 consid. 3.3 ; TF 5A_378/2013 du 23 octobre 2013 consid. 2.2). Par ces motifs, la Chambre des recours civile du Tribunal cantonal, prononce : I. Le recours est admis. II. Le prononcé est réformé en ce sens qu’une avance de frais de 5'625 fr. sera demandée à l’appelant en cause M.________ ; la cause est renvoyée au premier juge pour qu’il impartisse un nouveau délai pour verser cette avance de frais. III. Les frais judiciaires de deuxième instance, arrêtés à 400 fr. (quatre cents francs), sont laissés à la charge de l’Etat. IV. L’arrêt est exécutoire. Le président :               La greffière : Du L'arrêt qui précède, dont la rédaction a été approuvée à huis clos, est notifié à : ‑ Me Tony Donnet-Monay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