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931 vom 11. Januar 2021</w:t>
      </w:r>
    </w:p>
    <w:p>
      <w:r>
        <w:t>VD Tribunal cantonal, 2021-01-11, FR</w:t>
      </w:r>
    </w:p>
    <w:p>
      <w:r>
        <w:rPr>
          <w:b/>
        </w:rPr>
        <w:t xml:space="preserve">Quelle: </w:t>
      </w:r>
      <w:r>
        <w:t>https://mcp.opencaselaw.ch/entscheid/vd_findinfo_HC___2020___931</w:t>
      </w:r>
    </w:p>
    <w:p>
      <w:r>
        <w:t>FR: VD_FINDINFO HC / 2020 / 931 du 11 janvier 2021</w:t>
      </w:r>
    </w:p>
    <w:p>
      <w:r>
        <w:t>IT: VD_FINDINFO HC / 2020 / 931 del 11 gennaio 2021</w:t>
      </w:r>
    </w:p>
    <w:p>
      <w:pPr>
        <w:pStyle w:val="Heading2"/>
      </w:pPr>
      <w:r>
        <w:t>Regeste</w:t>
      </w:r>
    </w:p>
    <w:p>
      <w:r>
        <w:t>CONTRAT DE TRAVAIL, RÉSILIATION IMMÉDIATE, PRINCIPE DE LA CONFIANCE{INTERPRÉTATION DU CONTRAT}, PRINCIPE DE LA BONNE FOI, ABANDON D'EMPLOI | 18 al. 1 CO, 337 CO, 27 LPGA, 30 LPGA</w:t>
      </w:r>
    </w:p>
    <w:p>
      <w:pPr>
        <w:pStyle w:val="Heading2"/>
      </w:pPr>
      <w:r>
        <w:t>Erwägungen</w:t>
      </w:r>
    </w:p>
    <w:p>
      <w:r>
        <w:rPr>
          <w:b/>
        </w:rPr>
        <w:t>E. 5</w:t>
      </w:r>
    </w:p>
    <w:p>
      <w:r>
        <w:t>Au vu de ce qui précède, l’appel, manifestement mal fondé, doit être rejeté (art. 312 al. 1 in fine CPC) et le jugement entrepris confirmé. L’arrêt sera rendu sans frais judiciaires de deuxième instance, s’agissant d’un litige portant sur un contrat de travail dont la valeur litigieuse n’excède pas 30'000 fr. (art. 114 let. c CPC). Les intimés n’ayant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