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2020 / 920 vom 5. Januar 2021</w:t>
      </w:r>
    </w:p>
    <w:p>
      <w:r>
        <w:t>VD Tribunal cantonal, 2021-01-05, FR</w:t>
      </w:r>
    </w:p>
    <w:p>
      <w:r>
        <w:rPr>
          <w:b/>
        </w:rPr>
        <w:t xml:space="preserve">Quelle: </w:t>
      </w:r>
      <w:r>
        <w:t>https://mcp.opencaselaw.ch/entscheid/vd_findinfo_HC___2020___920</w:t>
      </w:r>
    </w:p>
    <w:p>
      <w:r>
        <w:t>FR: VD_FINDINFO HC / 2020 / 920 du 5 janvier 2021</w:t>
      </w:r>
    </w:p>
    <w:p>
      <w:r>
        <w:t>IT: VD_FINDINFO HC / 2020 / 920 del 5 gennaio 2021</w:t>
      </w:r>
    </w:p>
    <w:p>
      <w:pPr>
        <w:pStyle w:val="Heading2"/>
      </w:pPr>
      <w:r>
        <w:t>Regeste</w:t>
      </w:r>
    </w:p>
    <w:p>
      <w:r>
        <w:t>DÉFAUT DE LA CHOSE, BAIL À LOYER, REJET DE LA DEMANDE, GARANTIE BANCAIRE | 257a CO, 257b CO, 259d CO, 259e CO</w:t>
      </w:r>
    </w:p>
    <w:p>
      <w:pPr>
        <w:pStyle w:val="Heading2"/>
      </w:pPr>
      <w:r>
        <w:t>Erwägungen</w:t>
      </w:r>
    </w:p>
    <w:p>
      <w:r>
        <w:rPr>
          <w:b/>
        </w:rPr>
        <w:t>E. 3</w:t>
      </w:r>
    </w:p>
    <w:p>
      <w:r>
        <w:t>, particulièrement avantageux pour les intimées. Les appelants sont encore d'avis que le tribunal, en tant qu'autorité spécialisée, aurait eu à disposition toutes les pièces concernant les charges, en particulier celles concernant le gaz, et toutes les données lui permettant de procéder à l'examen des décomptes, soit la consommation réelle sur une année civile, le coefficient, le tarif, les taxes, le forfait et le taux de TVA, et aurait pu les corriger le cas échéant. Par conséquent, le tribunal ne pouvait se contenter de rejeter les décomptes, les frais effectifs étant largement supérieurs aux acomptes mensuels de 150 fr. payés par les intimées, qui ne devaient pas non plus leur être remboursés. S'agissant de l'eau, les appelants soutiennent que l'installation par le bailleur d'une douche justifierait non seulement le maintien des frais d'eau, mais également leur augmentation, dès lors qu'il y avait plus de clientes par jour dans les locaux litigieux que d'habitants dans les appartements. 5.4 En l’espèce, les intimées avaient conclu déjà au stade de la conciliation, puis auprès du tribunal, au remboursement des acomptes payés pour les frais accessoires. Les appelants n'ont produit les décomptes des frais accessoires de 2012 à 2016, avec la mention d'une réserve quant à la modification du cubage effectif des locaux, que le 23 janvier 2018. Ce n'est que dans la liste produite à l'audience du</w:t>
      </w:r>
    </w:p>
    <w:p>
      <w:r>
        <w:rPr>
          <w:b/>
        </w:rPr>
        <w:t>E. 8</w:t>
      </w:r>
    </w:p>
    <w:p>
      <w:r>
        <w:t>juillet 2019 qu'ils ont indiqué un volume plus élevé pour les locaux litigieux, sans établir du reste qu'un peintre aurait procédé dans l'intervalle au calcul du volume, puisque cela ne ressort pas des déclarations du bailleur telles que figurant au procès-verbal d'audition du 2 septembre 2019. On ne saurait reprocher à l'autorité précédente la violation du droit d'être entendus des appelants pour ne pas avoir procédé à une inspection locale, voire pour ne pas avoir fixé un délai en vue de la production d'un métrage officiel, dès lors que le tribunal avait expressément requis des bailleurs la production d'un plan de l'immeuble, ce qui ne les empêchait au demeurant nullement de produire un métrage officiel. Dans ces conditions, c'est à bon droit que les premiers juges ont refusé la prise en compte du volume approximatif, augmenté par la production à l'audience seulement d'un métrage établi par les bailleurs eux-mêmes. S'agissant des frais d'eau, le jugement a fait application de la Directive chauffage et eau chaude 2012 précitée (cf. supra consid. 5.1.2.2), qui commande de déterminer en premier lieu la quantité d'énergie nécessaire à la production d'eau chaude en fonction des consommations standardisées, rapportée au volume des objets et pondérée en fonction de l'affectation des locaux exprimée en kwh ; la quantité d'énergie nécessaire au chauffage se détermine ensuite en déduisant l'énergie nécessaire pour la consommation d'eau de la consommation totale, pondérée en fonction du combustible et exprimée en kwh ; une fois cette répartition effectuée, la consommation d'énergie attribuée à la production d'eau chaude doit être répartie entre les objets en fonction du volume chauffé, pondéré par type d'affectation. Or non seulement les décomptes produits ne précisaient pas le volume définitif des locaux loués, mais on n'y décèle nullement la pondération selon le type d'affectation, sans parler des autres manquements relevés par le jugement, étant rappelé qu'il n'appartient pas au tribunal de procéder aux calculs des décomptes de frais accessoires incombant au bailleur. 6. 6.1 Les appelants, se référant à la pièce 153, reprochent au tribunal d’avoir établi à tort que les parties s’étaient accordées pour que le premier loyer à verser soit celui du mois d’octobre 2012, au lieu du mois d’août 2012. Ils soutiennent également que les intimées n’ont jamais constitué de garantie bancaire, de sorte que c’est à tort que les premiers juges les ont condamnées à restituer la somme de 4'950 francs. 6.2 L'art. 8 CC répartit le fardeau de la preuve pour toutes les prétentions fondées sur le droit fédéral et détermine, sur cette base, laquelle des parties doit assumer les conséquences de l'échec de la preuve (ATF 130 III 321 consid. 3.1 ; ATF 127 III 519 consid. 2a ; ATF 126 III 189 consid. 2b ; ATF 126 III 315 consid. 4a). On déduit également de l'art. 8 CC un droit à la preuve et à la contre-preuve (ATF 129 III 18 consid. 2.6 et les réf. citées). En particulier, le juge enfreint cette disposition s'il tient pour exactes les allégations non prouvées d'une partie, nonobstant leur contestation par la partie adverse, ou s'il refuse toute administration de preuve sur des faits pertinents en droit (ATF 130 III 591 consid. 5.4 et la réf. citée). Il viole également le droit fédéral s'il se contente de la simple vraisemblance d'un fait allégué lorsqu'il n'a pas pu acquérir une conviction quant à l'existence de ce fait (cf. ATF 118 II 235 consid. 3c et les réf. citées). L'art. 8 CC ne prescrit pas quelles sont les mesures probatoires qui doivent être ordonnées (ATF 127 III 519 consid. 2a), ni ne dicte au juge comment forger sa conviction (ATF 128 III 22 consid. 2d ; ATF 127 III 248 consid. 3a ; ATF 127 III 519 consid. 2a). Il n'exclut ni l'appréciation anticipée des preuves, ni la preuve par indices (ATF 129 III 18 consid. 2.6 ; ATF 127 III 520 consid. 2a ; ATF 126 III 315 consid. 4a). Lorsque tous les faits pertinents sont prouvés, il n'y a pas échec de la preuve, si bien que la question de la répartition du fardeau de la preuve (art. 8 C) ne se pose pas. En effet, lorsque le juge constate qu'un fait s'est produit ou ne s'est pas produit, il a atteint un résultat. Le fardeau de la preuve, en tant que règle légale, n'intervient que lorsque le juge ne parvient pas à une conviction, n'est pas à même de déterminer si le fait s'est produit ou non (ATF 143 III 1 consid. 4.1 et les réf. citées). 6.3 Le tribunal a examiné la question des loyers dus dans le cadre de l’objection de compensation excipée par les appelants qui se prévalaient notamment de ce que des loyers n'auraient pas été payés entre 2012 et 2013 ainsi que durant l'année 2018. Selon le tribunal, s'agissant d'une éventuelle créance portant sur des loyers échus en 2012 ou 2013, il incombait préalablement aux appelants d'alléguer avec suffisamment de précision cette prétention (cf. ATF 143 III 1 consid. 4.1). L'allégation « il y a eu également des impayés de loyers en 2012, voir (sic) 2013 » (all. 127bis) ne comportait pas suffisamment d’informations pour permettre de déterminer l’existence d’une créance ou la quotité de celle-ci. D’ailleurs, la preuve offerte à l’appui de cet allégué, consistant à requérir la production en mains des intimées des preuves de l’ensemble des versements effectués durant toute la durée du bail montrait que les appelants ignoraient en réalité si cette créance existait. Quoi qu’il en soit, en acceptant dans un courriel du 3 décembre 2014 de compenser sur les loyers de décembre 2014 et janvier 2015 des montants versés à tort par les intimées à titre de loyer depuis octobre 2012, le bailleur avait donné quittance aux intimées du fait que tous les loyers échus jusqu’au 31 décembre 2014 à tout le moins avait été payés. Partant, il n’existait aucune créance compensante constituée de loyers échus en 2012 et 2013. 6.4 6.4.1 Il résulte de la pièce 153 que la partie locataire a interpellé le bailleur par courriel du 4 septembre 2012 pour qu'il lui confirme que le paiement des loyers ne débuterait qu'une fois les travaux terminés, exprimant le souhait de rediscuter les termes du contrat à la fin des travaux. Dans sa réponse du 7 septembre 2012, la partie bailleresse a indiqué, en substance, qu'elle n'avait pas donné son accord concernant le loyer, mais qu'elle avait simplement dit qu'elles en discuteraient ultérieurement, qu'elle avait fixé un début de bail éloigné (début août) de manière à permettre de débuter les travaux avant l'entrée en jouissance, que son but était d'essayer de trouver les meilleures solutions et que c'était la raison pour laquelle il fallait une concertation. Dans un courriel du 5 octobre 2012, la partie bailleresse a notamment écrit qu'elle restait dans l'attente du versement des loyers échus. Il ressort d'un courriel du 16 octobre 2012 qu’W.________ a déclaré avoir été beaucoup retardée dans les travaux à cause de la fosse septique, que cela n'empêchait pas que le loyer du mois d'octobre avait été payé. Le 2 décembre 2014, la partie locataire a adressé un courriel à la partie bailleresse au sujet des montants de loyer versés en trop depuis le mois d’octobre 2012, dès lors qu'il lui incombait de payer la somme convenue de 1'650 fr. au lieu du montant versé de 1'750 francs. La partie bailleresse n'a pas contesté la période indiquée par la partie locataire dans sa réponse du même jour, allant même jusqu'à corriger à 750 fr. le solde dû par la partie locataire, qui avait proposé de ne pas payer le mois de décembre 2014, mais de se limiter à verser un solde de 900 fr. en janvier 2015. 6.4.2 Certes, le contrat a été conclu le 7 juin 2012 et prévoyait que le bail commençait le 1 er août 2012, le loyer étant payable d'avance (art. 3 et 7 RULV). Au vu des éléments au dossier, il est constant que les intimées ont fait valoir un retard dans les travaux en raison de la découverte de la fosse septique et que les appelants sont entrés en matière sur une concertation au sujet d'un report du paiement de loyer, sans toutefois préciser clairement par la suite, y compris dans leur courriel du 5 octobre 2012, l'issue de cette concertation et le point de départ du loyer, se bornant d'y mentionner « les loyers échus ». A cela s'ajoute que lorsque les appelants ont été amenés à examiner le trop-perçu de loyers payés par la partie locataire du mois d'octobre 2012 jusqu'au mois de septembre 2014, ils ne sont pas revenus sur cette question, allant même jusqu'à corriger favorablement le calcul des locataires pour cette période. Partant, quand bien même le jugement doit être précisé à cet égard, il y a lieu de confirmer la motivation convaincante des premiers juges. Il s'ensuit que le fait que la partie locataire s'est limitée à produire la preuve – qui lui incombait – du paiement du seul loyer du mois d’octobre pour l’année 2012 n’est plus décisif. 6.5 S'agissant de la garantie bancaire, équivalant à trois mois de loyer, la partie bailleresse a expressément admis dans son courriel du 5 octobre 2012 – dont elle se prévaut d'ailleurs en rapport avec les « loyers échus » – que les intimées la lui avaient effectivement versée sur son compte personnel. Les appelants soutiennent qu'ils n'avaient jamais requis le paiement de la garantie de loyer sur le compte personnel du bailleur et que l'inaction d’W.________, qui avait promis l'ouverture d'un compte bloqué à son nom conformément au contrat de bail, ne devrait pas lui profiter. Les appelants laissent entendre qu'il manquerait quatre loyers mensuels pour 2012 et que même si l'on tenait compte des trois loyers de la garantie, qu'ils avaient dû comptabiliser à titre de loyers, il subsisterait un loyer dû pour 2012. Or, aucun élément au dossier, en particulier des pièces comptables adéquates, ne permet de confirmer la version des appelants, au demeurant alléguée pour la première fois en appel sous cette forme et dans cette teneur, puisqu’ils avaient prétendu ne pas avoir reçu le montant de la garantie en procédure, voire l’avoir restitué aux intimées. Il y a donc lieu de s’en tenir à l’appréciation convaincante des premiers juges, qui ont retenu que le versement de la garantie en espèces à la date du 14 juin 2012 était avéré, que les appelants avaient ainsi dix jours pour constituer un compte dépôt ou restituer l’argent et inviter les intimées à ouvrir le compte elles-mêmes, que les appelants avaient toutefois préféré garder cette somme en violation de leurs obligations légales et des dispositions de la LGBL (Loi sur les garanties en matière de baux à loyer du 15 septembre 1971 ; BLV 221.307), de sorte qu’ils étaient tenus à restitution de la somme de 4'950 francs. Le grief doit être rejeté. 7. 7.1 Les appelants contestent encore la répartition des frais et dépens de première instance. Ils sont d'avis que les intimées auraient obtenu sur le fond 42'500 fr. (après compensation) et non 57'300 fr. sur les 97'200 fr. réclamés. Ce serait aussi à tort que le jugement retiendrait que les appelants auraient obtenu 70 % sur leurs prétentions opposées en compensation, qui n'étaient pas des conclusions « actives » (la seule conclusion de la réponse étant le rejet ; la compensation n'étant invoquée que dans le texte de la réponse elle-même), de sorte qu'il faudrait déduire les sommes opposées en compensation et non pas les considérer comme des conclusions. Il en résulterait que les intimées auraient largement succombé sur le montant obtenu de 57 % et également sur des questions de principe, notamment sur celle de l'annulation du contrat. 7.2 En principe, les frais – soit les frais judiciaires et les dépens (art. 95 al. 1 CPC) – sont mis à la charge de la partie succombante en vertu de l’art. 106 al. 1 CPC. La partie succombante est le demandeur lorsque le tribunal n’entre pas en matière et en cas de désistement d’action ; c’est le défendeur en cas d’acquiescement. Lorsqu’aucune des parties n’obtient entièrement gain de cause, les frais sont répartis selon le sort de la cause (106 al. 2 CPC). Cette disposition suppose une répartition des frais judiciaires et des dépens en fonction de l'issue du litige comparée avec les conclusions prises par chacune des parties (TF 5A_140/2019 du 5 juillet 2019 consid. 5.1.1 ; TF 4A_226/2013 du 7 octobre 2013 consid. 6.2, publié in RSPC 2014 p. 19). Le poids accordé aux conclusions tranchées, peut, de cas en cas, être apprécié selon différents critères, par exemple selon leur importance respective dans le litige ou par rapport à ce qui a été alloué ou selon le travail occasionné (TF 5A_5/2019 du 4 juin 2019 consid. 3.3.1 et les réf. citées). Au vu de la diversité des critères, il n'y a pas qu'une seule solution qui soit conforme au droit fédéral (TF 5A_140/2019 du 5 juillet 2019 consid. 5.1.1 ; TF 4A_511/2015 du 9 décembre 2015 consid. 2.2). Il résulte des termes « sort de la cause » utilisés à l'art. 106 al. 2 CPC que, dans la répartition des frais, le juge peut notamment prendre en considération l'importance de chaque conclusion dans le litige, de même que le fait qu'une partie a obtenu gain de cause sur une question de principe. 7.3 7.3.1 Selon le tribunal, aucune des parties n'a eu entièrement gain de cause. Les intimées ont vu leur conclusions principales en annulation rejetées, mais ont été suivies sur le principe de l'existence d'un défaut et se sont vu allouer 60 % de leurs prétentions initiales (avant compensation). Les appelants, qui concluaient au rejet, ont largement succombé ; ils ont cependant obtenu la compensation avec des loyers impayés pour un montant de 14'850 fr., mais non avec le solde de charges d'un montant de 4'329 fr. 55 dont ils se prévalaient ; ils ont ainsi eu gain de cause sur environ 70 % des créances opposées en compensation. Pour les premiers juges, il paraissait dès lors équitable de répartir les frais judiciaires entre les parties à raison de 50 % chacune. 7.3.2 La répartition effectuée par le tribunal ne prête pas le flanc à la critique. Si l’on ne tient pas compte de la compensation, soulevée dans la réponse mais ne faisant pas l’objet d’une conclusion formelle de la part des appelants (défendeurs), ceux-ci succomberaient dans une plus grande mesure, contrairement à ce qu’ils soutiennent. En effet, si les intimées n’ont pas obtenu gain de cause sur le principe de l’annulation du contrat, elles demeurent victorieuses sur le principe du défaut, même à supposer que cela ne soit que dans une certaine mesure s’agissant de la quotité, alors que les appelants succomberaient puisqu’ils ont conclu au rejet et que seule la conclusion en annulation du contrat de bail a été rejetée, les autres conclusions étant allouées aux intimées sur le principe, mais dans une moindre mesure. Si l’on suivait les appelants, leur raisonnement entrainerait une reformatio in peius .</w:t>
      </w:r>
    </w:p>
    <w:p>
      <w:r>
        <w:rPr>
          <w:b/>
        </w:rPr>
        <w:t>E. 8.1</w:t>
      </w:r>
    </w:p>
    <w:p>
      <w:r>
        <w:t>Au vu de ce qui précède, l’appel, manifestement infondé, doit être rejeté selon l’art. 312 al. 1 in fine CPC et le jugement querellé doit être confirmé.</w:t>
      </w:r>
    </w:p>
    <w:p>
      <w:r>
        <w:rPr>
          <w:b/>
        </w:rPr>
        <w:t>E. 8.2</w:t>
      </w:r>
    </w:p>
    <w:p>
      <w:r>
        <w:t>Vu l'issue de l'appel, les frais judiciaires de deuxième instance, arrêtés à 1'425 fr. (art. 62 al. 1 TFJC [tarif des frais judiciaires civils du 28 septembre 2010 ; BLV 270.11.5]), seront mis à la charge des appelants (art. 106 al. 1 CPC), solidairement entre eux. Enfin, il n’y a pas matière à l’allocation de dépens, les intimées n’ayant pas été invitées à se déterminer sur l’appel.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