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875 vom 15. Dezember 2020</w:t>
      </w:r>
    </w:p>
    <w:p>
      <w:r>
        <w:t>VD Tribunal cantonal, 2020-12-15, FR</w:t>
      </w:r>
    </w:p>
    <w:p>
      <w:r>
        <w:rPr>
          <w:b/>
        </w:rPr>
        <w:t xml:space="preserve">Quelle: </w:t>
      </w:r>
      <w:r>
        <w:t>https://mcp.opencaselaw.ch/entscheid/vd_findinfo_HC___2020___875</w:t>
      </w:r>
    </w:p>
    <w:p>
      <w:r>
        <w:t>FR: VD_FINDINFO HC / 2020 / 875 du 15 décembre 2020</w:t>
      </w:r>
    </w:p>
    <w:p>
      <w:r>
        <w:t>IT: VD_FINDINFO HC / 2020 / 875 del 15 dicembre 2020</w:t>
      </w:r>
    </w:p>
    <w:p>
      <w:pPr>
        <w:pStyle w:val="Heading2"/>
      </w:pPr>
      <w:r>
        <w:t>Regeste</w:t>
      </w:r>
    </w:p>
    <w:p>
      <w:r>
        <w:t>OBLIGATION D'ENTRETIEN, ENFANT | 176 CC, 285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w:t>
      </w:r>
    </w:p>
    <w:p>
      <w:r>
        <w:rPr>
          <w:b/>
        </w:rPr>
        <w:t>E. 2</w:t>
      </w:r>
    </w:p>
    <w:p>
      <w:r>
        <w:t>let. a CPC) et portant sur des conclusions qui, capitalisées selon l’art.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Selon l’art. 311 al. 1 CPC, l'appelant est tenu de motiver son appel, c'est-à-dire de tenter de démontrer dans son mémoire le caractère erroné de la décision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141 III 569 consid. 2.3.3 et 4.3.1 ; TF 5D_43/2019 du 24 mai 2019 consid. 3.2.2 et les références citées).</w:t>
      </w:r>
    </w:p>
    <w:p>
      <w:r>
        <w:rPr>
          <w:b/>
        </w:rPr>
        <w:t>E. 2.2</w:t>
      </w:r>
    </w:p>
    <w:p>
      <w:r>
        <w:t>Dans le cadre de mesures provisionnelles, le juge établit les faits d'office en vertu de la maxime inquisitoire (art. 272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(ATF 128 III 411 consid. 3.2.1). Il n'appartient pas au tribunal de conseiller les parties du point de vue procédural (ATF 137 III 617 consid. 5.2, JdT 2014 II 187 ; TF 5A_855/2017 du 11 avril 2018 consid. 4.3.2 ; Colombini, Code de procédure civile, Condensé de la jurisprudence fédérale et vaudoise, 2018, n. 2.1 ad art. 272 CPC et les réf. cit.). Par ailleurs,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Pour les questions relatives aux époux, en particulier sur la contribution d'entretien (cf. Tappy, CPC commenté, 2011,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 La maxime inquisitoire illimitée de l’art. 296 CPC est applicable à toutes les procédures du droit de famille concernant le sort des enfants. Elle vaut ainsi, lorsque des questions relatives à l’enfant, y compris celles relatives à la contribution d’entretien, doivent être tranchées dans une procédure de mesures protectrices de l’union conjugale (TF 5A_645/2016 du 18 mai 2017 c. 3.2.3). Dans la mesure où l'établissement d'un fait est nécessaire pour déterminer la contribution d'entretien due aux enfants, la maxime inquisitoire illimitée de l'art. 296 al. 1 CPC lui est applicable même s'il sert ensuite aussi à fixer celle du conjoint (ATF 128 III 411 c. 3.2.2; TF 5A_245/2019 du 1er juillet 2019 c. 3.2.1). Le Tribunal fédéral a voulu ainsi éviter que le juge statue sur la contribution d'entretien de l'enfant et du conjoint sur la base d'un état de fait différent, sous prétexte que le procès n'est pas soumis aux mêmes maximes dans un cas et dans l'autre (TF 5A_ 361/2011 du 7 décembre 2011 consid. 5.3). Appliquant la maxime inquisitoire illimitée,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que l’interdiction de la reformatio in peius ne s’applique pas dans les affaires régies par la maxime d’office. Le juge ne peut toutefois pas aller au-delà de l’objet du litige tel que fixé devant lui par les parties (ATF 137 III 617 c. 4.5.2 et 4.5.3, JdT 2014 II 187 ; Colombini, Code de procédure civile, Condensé de jurisprudence, n. 9.4 ad art. 311 CPC).</w:t>
      </w:r>
    </w:p>
    <w:p>
      <w:r>
        <w:rPr>
          <w:b/>
        </w:rPr>
        <w:t>E. 3.1</w:t>
      </w:r>
    </w:p>
    <w:p>
      <w:r>
        <w:t>A l’audience d’appel, l’appelant a admis les coûts directs de l’enfant, tels qu’allégués (all. 54 et 55) par l’intimée dans son procédé écrit du 19 juin 2020 (valant réponse sur la requête de mesures provisionnelles du 9 avril 2020), sous réserve des postes suivants : les frais de repas extérieur, d’activités extra-scolaire (de théâtre pour [...] et de basket pour [...]), d’appui scolaire, d’activités et loisirs et de réserve pour imprévus. Il plaide qu’il n’aurait pas les moyens de les assumer.</w:t>
      </w:r>
    </w:p>
    <w:p>
      <w:r>
        <w:rPr>
          <w:b/>
        </w:rPr>
        <w:t>E. 3.2</w:t>
      </w:r>
    </w:p>
    <w:p>
      <w:r>
        <w:t>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w:t>
      </w:r>
    </w:p>
    <w:p>
      <w:r>
        <w:rPr>
          <w:b/>
        </w:rPr>
        <w:t>E. 3.3</w:t>
      </w:r>
    </w:p>
    <w:p>
      <w:r>
        <w:t>Dans la mesure où les frais contestés participent à l’éducation, à la formation ou à la socialisation des enfants des parties, ils couvrent les besoins essentiels des enfants et doivent être pris en compte dans le calcul des coûts directs des enfants. La situation financière des parties étant en revanche serrée, le poste « réserve pour imprévus » ne sera pas compté. Les deux parties s’accordent  d’ailleurs sur le fait que ce dernier poste ne soit pas retenu. Il s’ensuit que les coûts directs des enfants C.M.________ et D.M.________ totalisent 2'251 fr. 20 (1'176 fr. 35 + 1'074 fr. 85), selon le détail exposé ci-dessus (cf. let. C/ch. 5).</w:t>
      </w:r>
    </w:p>
    <w:p>
      <w:r>
        <w:rPr>
          <w:b/>
        </w:rPr>
        <w:t>E. 4</w:t>
      </w:r>
    </w:p>
    <w:p>
      <w:r>
        <w:t>et 5 ; mémoire d’appel, all. 4 et 5). Le témoin H.________ a confirmé avoir constaté qu’après la séparation, l’appelant n’allait plus bien moralement et qu’il n’avait plus envie de travailler (déclarations faites en deuxième instance). Il est donc vraisemblable que l’appelant a perdu tout ou partie de son ardeur au travail après la séparation. Mais l’instruction n’a pas permis d’établir si ce manque de motivation a une composante pathologique – qui devrait alors être traitée dans le cadre d’un suivi médical – ou si elle résulte d’un simple laisser-aller de l’appelant, que celui-ci pourrait surmonter en faisant quelques efforts. En tout état, l’appelant n’a produit aucun certificat médical attestant une pathologie ou la mise en place d’un suivi thérapeutique. Il s’ensuit qu’à l’aune de la vraisemblance, la baisse de motivation au travail de l’appelant après la séparation, soit après la convention – étant rappelé que la séparation date du 3 octobre 2016 et la convention du 12 octobre 2016 – n’est pas due à une affection psychique qui empêcherait l’appelant de réagir normalement à la rupture, mais à un manque d’efforts qui peut se comprendre sur quelques mois, mais non sur un ou deux ans. La « perte de maîtrise » invoquée ne justifie dès lors pas une modification des mesures protectrices. D’après le témoin H.________, le chiffre d’affaires de l’appelant a baissé de 35% en moyenne chaque année en 2017 et 2018 (précisions apportées par le témoin en première instance). Ainsi, la perte du client U.________, qui lui fournissait 90% de son activité, a pu être compensée en partie. Rien ne démontre, même au simple stade de la vraisemblance, qu’en faisant des efforts normaux, exigibles de lui, l’appelant ne pourrait pas pallier entièrement la perte de ce client. Dans ces conditions, il n’a pas été rendu vraisemblable que la situation de fait s’est modifiée, depuis la convention du 12 octobre 2016, d’une manière qui justifie une nouvelle fixation des contributions d’entretien. La présidente aurait dû rejeter purement et simplement la requête de mesures provisionnelles du 9 avril 2020. Le montant de 2'600 fr. auquel la présidente a réduit la pension globale fixée dans la convention du 12 octobre 2016 couvre les coûts directs des enfants (qui s’élèvent à 2'251 fr. 20), mais non le droit de D.M.________ à une contribution aux frais de prise en charge. La maxime officielle étant applicable dans cette mesure, l’ordonnance attaquée sera réformée d’office, in peius , en ce sens que la contribution globale à l’entretien de la famille est réduite de 3'000 fr. à 2'800 fr. par mois.</w:t>
      </w:r>
    </w:p>
    <w:p>
      <w:r>
        <w:rPr>
          <w:b/>
        </w:rPr>
        <w:t>E. 4.1.1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consid. 3.2.2, publié in FamPra.ch 2011 p. 993 ; TF 5A_562/2013 du 24 octobre 2013 consid. 3.1).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ATF 141 III 376 consid. 3.3.1 ; ATF 129 III 60 consid. 2; TF 5A_842/2015 du 26 mai 2016 consid. 2.4.2, non publié à ATF 142 III 518 ; TF 5A_617/2017 du 28 septembre 2017 consid. 3.1 ; TF 5A_501/2018 du 22 novembre 2018 consid. 2).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Une modification est exclue lorsque les circonstances nouvelles ont été provoquées par le comportement illicite ou constitutif d'abus de droit du requérant (TF 5P.473/2006 du 19 décembre 2006 consid. 3, FamPra.ch 2007 p. 373; TF 5A_101/2013 du 25 juillet 2013 consid. 3.1; TF 5A_622/2014 du 17 février 2015 consid. 2.3 ; ATF 141 III 376 consid. 3.3.1 ; TF 5A_842/2015 du 26 mai 2016 consid. 2.4.1, non publié à ATF 142 III 518). Le fardeau de l’allégation et de la preuve d’un motif de suppression ou de réduction de contribution incombe au requérant. En revanche, le fardeau de l’allégation et de la preuve de l’amélioration des circonstances économiques du requérant, respectivement du maintien de sa capacité contributive pour d’autres raisons incombe à l’intimé (TF 5A_893/2016 du 30 juin 2017 consid. 2.3.1).</w:t>
      </w:r>
    </w:p>
    <w:p>
      <w:r>
        <w:rPr>
          <w:b/>
        </w:rPr>
        <w:t>E. 4.1.2</w:t>
      </w:r>
    </w:p>
    <w:p>
      <w:r>
        <w:t>Les nouvelles dispositions sur l’entretien de l’enfant sont applicables depuis le 1 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(TF 5A_764/2017 du 7 mars 2018 consid. 4.1.3). L'art. 13c Tit. fin. CC règle la question des effets des nouvelles règles sur les situations déjà existantes, soit celles où l'enfant est déjà au bénéfice d'une contribution d'entretien. Pour les enfants de parents mariés qui se sont séparés ou qui ont divorcé, l'art. 13c 2ème phr. Tit. fin. CC prévoit que les contributions d'entretien dues à l'enfant peuvent être modifiées seulement si la situation change notablement. Le Message du Conseil fédéral précise que, pour juger de la nécessité de modifier la contribution d'entretien destinée à l'enfant, il faut procéder à une pesée des intérêts respectifs de l'enfant et de chacun des parents (art. 286 al. 2 CC). L'entrée en vigueur des nouvelles dispositions en la matière ne suffit pas à justifier une modification de la contribution d'entretien (Message du Conseil fédéral concernant la révision du code civil suisse (Entretien de l'enfant), du 29 novembre 2013, FF 2013 p. 511 ss [569 s. n° 2.7.1]; TF 5A_764/2017 consid. 4.1.1).</w:t>
      </w:r>
    </w:p>
    <w:p>
      <w:r>
        <w:rPr>
          <w:b/>
        </w:rPr>
        <w:t>E. 4.2</w:t>
      </w:r>
    </w:p>
    <w:p>
      <w:r>
        <w:t>L’appelant invoque deux faits nouveaux qui auraient entraîné une baisse significative de ses revenus par rapport à ceux qu’il réalisait au moment de la convention du 12 octobre 2016.</w:t>
      </w:r>
    </w:p>
    <w:p>
      <w:r>
        <w:rPr>
          <w:b/>
        </w:rPr>
        <w:t>E. 4.2.1</w:t>
      </w:r>
    </w:p>
    <w:p>
      <w:r>
        <w:t>D’abord, il fait valoir que les garagistes ont changé de pratique commerciale en s’inscrivant sur des plateformes de vente en ligne pour revendre des véhicules usagés d’occasion et que, pour cette raison, il a lui-même perdu, au cours de l’année 2018, son plus grand client, [...]. Ce dernier fait est rendu vraisemblable par le témoignage de H.________. Pour les raisons indiquées dans la décision de première instance, le témoin H.________, même si on peut lui prêter des intentions bienveillantes à l’endroit de son client B.M.________, est fiable sur les faits qu’il rapporte. On doit donc retenir, à l’aune de la vraisemblance, que l’appelant a perdu en 2018 son client U.________, qui lui confiait 4 à 5 voitures par semaine pour la revente (précision apportée par le témoin en première instance), ce qui représentait 90% de son activité (précision apportée par le témoin en deuxième instance). Il est également vraisemblable que la plupart des garagistes recourent désormais à des plateformes en ligne pour la vente de certains véhicules d’occasion, et qu’ils ne passent donc plus seulement par des marchands, même si ce changement n’est probablement pas postérieur à la convention du 12 octobre 2016.</w:t>
      </w:r>
    </w:p>
    <w:p>
      <w:r>
        <w:rPr>
          <w:b/>
        </w:rPr>
        <w:t>E. 4.2.2</w:t>
      </w:r>
    </w:p>
    <w:p>
      <w:r>
        <w:t>Ensuite, l’appelant fait valoir que sa séparation d’avec l’intimée a provoqué chez lui une « perte de maîtrise » qui a eu de profondes répercussions sur son activité professionnelle (requête de mesures provisionnelles du 9 avril 2020, all.</w:t>
      </w:r>
    </w:p>
    <w:p>
      <w:r>
        <w:rPr>
          <w:b/>
        </w:rPr>
        <w:t>E. 5</w:t>
      </w:r>
    </w:p>
    <w:p>
      <w:r>
        <w:t>En définitive, l’appel doit être rejeté et l’ordonnance attaquée réformée d’office dans le sens des considérants.</w:t>
      </w:r>
    </w:p>
    <w:p>
      <w:r>
        <w:rPr>
          <w:b/>
        </w:rPr>
        <w:t>E. 5.1</w:t>
      </w:r>
    </w:p>
    <w:p>
      <w:r>
        <w:t>Les frais judiciaires de deuxième instance, arrêtés à 1'397 fr. 80, soit 1’200 fr. pour l’émolument de décision (art. 63 al. 2 TFJC [tarif des frais judiciaires civils du 28 septembre 2010 ; BLV 270.11.5]) et 197 fr. 80 pour l’audition d’un témoin (art. 87 TFJC), seront mis à la charge de l’appelant, qui succombe (art. 106 al. 1 CPC), et provisoirement assumés par l’Etat compte tenu de l’assistance judiciaire (art. 122 al. 2 CPC).</w:t>
      </w:r>
    </w:p>
    <w:p>
      <w:r>
        <w:rPr>
          <w:b/>
        </w:rPr>
        <w:t>E. 5.2.1</w:t>
      </w:r>
    </w:p>
    <w:p>
      <w:r>
        <w:t>Compte tenu de l’importance de la cause, de ses difficultés, de l’ampleur du travail et du temps consacré à la procédure, la durée de travail du conseil de l’appelant peut être estimée à 3 heures et 30 minutes, dont 1 heure et 30 minutes pour sa participation à l’audience d’appel. Au tarif horaire de 180 fr. (art. 2 al. 1 let. a RAJ [règlement sur l'assistance judiciaire en matière civile du 7 décembre 2010 ; BLV 211.02.3]) les honoraires de Me Olivier Flattet se montent à 630 fr., auxquels s’ajoutent un forfait de vacation de 120 fr., des débours forfaitaires (art. 3bis al. 1 RAJ) par 12 fr. 60 (630 fr. x 2 %) et la TVA de 7,7 % sur le tout, par 58 fr. 72, ce qui donne un total de 821 francs 32, que l’on arrondira à  821 fr. 30. Le bénéficiaire de l’assistance judiciaire est, dans la mesure de l’art. 123 CPC, tenu au remboursement des frais judiciaires et de l'indemnité de son conseil d'office provisoirement laissés à la charge de l'Etat.</w:t>
      </w:r>
    </w:p>
    <w:p>
      <w:r>
        <w:rPr>
          <w:b/>
        </w:rPr>
        <w:t>E. 5.2.2</w:t>
      </w:r>
    </w:p>
    <w:p>
      <w:r>
        <w:t>Me Julien Gafner, conseil de l’intimée, indique avoir consacré 10 heures et 6 minutes, dont 3 heures et 48 minutes effectuées par un avocat-stagiaire. Cette durée peut être admise, sous réserve du temps d’audience d’appel, qui sera ramené à sa durée effective de 1 heures et 30 minutes (au lieu de 2 heures alléguées). Il s’ensuit que l’indemnité de Me Gafner peut être arrêtée, au tarif horaire de 180 francs (art. 2 al. 1 let. a RAJ [règlement sur l'assistance judiciaire en matière civile du 7 décembre 2010 ; BLV 211.02.3]) pour les opérations effectuées par l’avocat et de 110 fr. (art. 2 al. 1 let. b RAJ) pour celles effectuées par l’avocat-stagiaire, à 1'462 francs ([180 fr. x {6h18 -30 minutes}] + [110 fr. x {3 h 48}]), montant auquel il faut ajouter un forfait de vacation par 120 fr., de débours forfaitaires par 29 fr. 24 (1'462 x 2 %) et la TVA de 7,7 % sur le tout, par 124 fr. 06, ce qui donne un total de 1'735 fr. 30. La bénéficiaire de l’assistance judiciaire est, dans la mesure de l’art. 123 CPC, tenue au remboursement de l’indemnité à son conseil d’office, provisoirement laissée à la charge de l’Etat.</w:t>
      </w:r>
    </w:p>
    <w:p>
      <w:r>
        <w:rPr>
          <w:b/>
        </w:rPr>
        <w:t>E. 5.3</w:t>
      </w:r>
    </w:p>
    <w:p>
      <w:r>
        <w:t>L’assistance judiciaire ne dispense pas de verser des dépens à la partie adverse (art. 118 al. 3 CPC). L’appelant versera à l’intimée la somme de 2'000 fr. (art. 3 al. 2 et 9 al. 2 TDC [tarif des dépens en matière civile du 23 novembre 2010 ; BLV 270.11.6]) à titre de dépens de deuxième instance (art. 122 al. 1 let. d CPC). Par ces motifs, le juge délégué de la Cour d’appel civile prononce : I. L’appel est rejeté. II. L’ordonnance est réformée d’office au chiffre II de son dispositif comme il suit : « modifie le chiffre V de la convention du 12 octobre 2016, ratifiée par le Président du Tribunal d’arrondissement de Lausanne pour valoir ordonnance de mesures protectrices de l’union conjugale, comme suit : V nouveau : Dès et y compris le 1 er mai 2020, B.M.________ contribuera à l’entretien de sa famille par le régulier versement d’une pension mensuelle de 2'800 fr. (deux mille huit cents francs), allocations familiales éventuelles en sus, payable d’avance le premier jour de chaque mois sur le compte bancaire ouvert au nom d’A.M.________ » L’ordonnance est confirmée pour le surplus. III. Les frais judiciaires de deuxième instance, arrêtés à 1'397 fr. 80 (mille trois cent nonante-sept francs et huitante centimes), sont mis à la charge de l’appelant B.M.________ et provisoirement laissés à la charge de l’Etat. IV. L’indemnité d’office de Me Olivier Flattet, conseil de l’appelant, est arrêtée à 831 fr. 30 (huit cent trente-et-un francs et trente centimes), TVA et débours compris. V. Le bénéficiaire de l’assistance judiciaire est, dans la mesure de l’art. 123 CPC, tenu au remboursement des frais judiciaires et de l’indemnité à son conseil d’office, laissés provisoirement à la charge de l’Etat. VI. L’indemnité d’office de Me Julien Gafner, conseil de l’intimée A.M.________, est arrêtée à 1'735 fr. 30 (mille sept cent trente-cinq francs et trente centimes), TVA et débours compris. VII. La bénéficiaire de l’assistance judiciaire est, dans la mesure de l’art. 123 CPC, tenue au remboursement de l’indemnité à son conseil d’office, laissée provisoirement à la charge de l’Etat. VIII. L’appelant B.M.________ doit verser à l’intimée A.M.________ la somme de 2’000 fr. (deux mille francs) à titre de dépens de deuxième instance. IX. L’arrêt est exécutoire. Le juge délégué : La greffière : Du Le présent arrêt, dont la rédaction a été approuvée à huis clos, est notifié en expédition complète à : ‑ Me Olivier Flattet, avocat (pour B.M.________), ‑ Me Julien Gafner, avocat (pour A.M.________).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