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869 vom 13. November 2020</w:t>
      </w:r>
    </w:p>
    <w:p>
      <w:r>
        <w:t>VD Tribunal cantonal, 2020-11-13, FR</w:t>
      </w:r>
    </w:p>
    <w:p>
      <w:r>
        <w:rPr>
          <w:b/>
        </w:rPr>
        <w:t xml:space="preserve">Quelle: </w:t>
      </w:r>
      <w:r>
        <w:t>https://mcp.opencaselaw.ch/entscheid/vd_findinfo_HC___2020___869</w:t>
      </w:r>
    </w:p>
    <w:p>
      <w:r>
        <w:t>FR: VD_FINDINFO HC / 2020 / 869 du 13 novembre 2020</w:t>
      </w:r>
    </w:p>
    <w:p>
      <w:r>
        <w:t>IT: VD_FINDINFO HC / 2020 / 869 del 13 novembre 2020</w:t>
      </w:r>
    </w:p>
    <w:p>
      <w:pPr>
        <w:pStyle w:val="Heading2"/>
      </w:pPr>
      <w:r>
        <w:t>Regeste</w:t>
      </w:r>
    </w:p>
    <w:p>
      <w:r>
        <w:t>DROIT DES SUCCESSIONS, EXÉCUTEUR TESTAMENTAIRE, INTERDICTION D'ALIÉNER | 518 CC, 256 al. 2 CPC (CH), 261 CPC (CH), 262 CPC (CH), 59 CPC (CH)</w:t>
      </w:r>
    </w:p>
    <w:p>
      <w:pPr>
        <w:pStyle w:val="Heading2"/>
      </w:pPr>
      <w:r>
        <w:t>Erwägungen</w:t>
      </w:r>
    </w:p>
    <w:p>
      <w:r>
        <w:rPr>
          <w:b/>
        </w:rPr>
        <w:t>E. 1.1</w:t>
      </w:r>
    </w:p>
    <w:p>
      <w:r>
        <w:t>La procédure applicable à l'exécution testamentaire est réglée par le droit cantonal (art. 54 al. 1 et 3 Titre final CC [Code civil suisse du 10 décembre 1907 ; RS 210] ; Künzle, Das Erbrecht, Berner Kommentar, 2011, n. 554 ad art. 517-518 CC ; Christ/Eichner, in Abt/Weibel (édit.), Erbrecht, Praxiskommentar, 4 e éd., 2019, n. 88 ad art. 518 CC ; JdT 1990 III 31). Le droit vaudois prévoit que l'exécuteur testamentaire est surveillé, le cas échéant révoqué, par le juge de paix (art.</w:t>
      </w:r>
    </w:p>
    <w:p>
      <w:r>
        <w:rPr>
          <w:b/>
        </w:rPr>
        <w:t>E. 1.2</w:t>
      </w:r>
    </w:p>
    <w:p>
      <w:r>
        <w:t>En l’espèce, le recours a été formé en temps utile, si bien qu’il est recevable sous cet angle. 2. 2.1 Les tiers n’ont qualité pour recourir que si leurs intérêts juridiques sont touchés par la décision contestée (Blickenstorfer, in Schweizerische Zivilprozessordnung - Kommentar [DIKE-Komm. ZPO], Zurich/St-Gall 2011, n. 86 ad Vorbem. zu den Art. 308-334 CPC ; Reetz, in Kommentar zur Schweizerischen Zivilprozessordnung [ZPO], Zurich 2010, n. 35 ad Vorbem. zu den Art. 308-318 CPC ; Jeandin, in Commentaire romand du Code de procédure civile, 2 e éd., Bâle 2019 [ci-après : CR-CPC], nn. 12-13 ad Intro. art. 308-334 CPC). L’exécuteur testamentaire peut ester en justice en sa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2.2 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in CR-CPC op. cit.,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 e éd., Berne 2016, n. 605). L'absence d'un tel intérêt, qui doit être constatée d'office, entraîne l'irrecevabilité de l'appel ou du recours (CACI 7 juillet 2014/369 consid. 5a, cité in Colombini, Code de procédure civile, Condensé de la jurisprudence fédérale et vaudoise, Lausanne 2018, n. 2.1 ad art. 311 CPC et les réf. citées). 2.3 En l’espèce, le recourant est l’exécuteur testamentaire de la succession de feue B.F.________. L’ordonnance entreprise interdit à l’exécuteur testamentaire de signer des contrats de crédits hypothécaires et/ou de vendre des actifs de la succession durant le délai de paiement du bordereau d’impôts provisoire de la succession précitée, étant précisé qu’une fois ce délai passé, le recourant pourrait poursuivre sa mission aux conditions fixées par l’art. 518 al. 2 CC. L'ordonnance retient que l'intimé a déjà payé la majeure partie des impôts successoraux dus, sur ses propres deniers, ce qui n’est pas contesté par le recourant. L'ordonnance attaquée retient en particulier que l'héritier ­unique s'est acquitté à temps du bordereau provisoire de l'ACI, par 1'460'662 fr., du bordereau complémentaire provisoire de l'ACI, par 20'223 fr. 40, et que les impôts [...] ont été payés. Dans sa réponse du 30 octobre 2020, l'intimé rappelle qu'il a réglé les impôts successoraux et que le recourant a été libéré de toute responsabilité solidaire les concernant. On peut, dans ces conditions, légitimement se poser la question de savoir si le recours n'a pas perdu son objet, quoiqu'en dise le recourant, lorsque le recours porte spécifiquement sur la question de l’acquittement des impôts successoraux. Tout indique que la condition qui assortit l'interdiction faite au recourant de signer des contrats de crédits hypothécaires et/ou de vendre des actifs de la succession s'est éteinte, si bien que le recourant n'a plus d'intérêt digne de protection à contester les chiffres II et III de l'ordonnance. En tout état de cause, le recourant ne peut plus faire valoir qu'il existerait un risque que l'héritier ne s'acquitte pas des dettes successorales, vu ce que retient l'ordonnance, de sorte qu’il paraît douteux qu’il puisse être recherché personnellement pour les dettes de la succession. Quoi qu’il en soit, même à supposer recevable, le recours doit être rejeté pour les motifs exposés ci-dessous. 3.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peut être invoquée (ATF 138 III 232 consid. 4.1.2, JdT 2012 II 511 ; TF 4D_30/2017 du 5 décembre 2017 consid. 3.2). 4. 4.1 4.1.1 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 CREC 19 octobre 2016/430 précité ; art. 596 al. 1 CC, auquel renvoie l'art. 518 al. 1 CC ; Tuor, Der Erbgang, Berner Kommentar, 2 e éd., 1964, nn. 2 ss ad art. 596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Il est tenu de dresser un inventaire des actifs et des passifs de la succession (TF 5A_522/2014 du 16 décembre 2015 consid 4.3.1 et l’auteur cité). Il a de surcroît pour devoir d'administrer le patrimoine successoral, c'est-à-dire de prendre toutes les mesures utiles à la conservation de celui-ci et à sa liquidation (TF 5A_522/2014 du 16 décembre 2015 consid 4.3.1 et l’auteur cité). Dans ce cadre, il peut procéder aux aliénations nécessaires pour conserver le patrimoine du défunt, pour payer les dettes et pour acquitter les legs ; en revanche, il ne peut pas, sans l'accord des héritiers, réaliser des biens en vue du partage (TF 5A_522/2014 du 16 décembre 2015 consid 4.3.1 et l’auteur cité).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(TF 5A_522/2014 du 16 décembre 2015 consid 4.3.1 ; ATF 101 II 47 consid. 2 et 3). Il n'est en principe pas lié par la volonté des héritiers, sauf au moment du partage des biens de la succession où il doit tenir compte de leurs désirs, pour autant que ceux-ci soient compatibles avec la loi et avec les dispositions testamentaires du de cujus (TF 5A_522/2014 du 16 décembre 2015 consid 4.3.1 et l’arrêt cité). L’exécuteur testamentaire n’a pas à se préoccuper des dettes personnelles des héritiers, sous réserve des legs ; il engage donc sa responsabilité s’il paye de telles dettes. Cela vaut en particulier pour les impôts successoraux dus par les héritiers (ATF 101 II 47 consid. 2a, in JdT 1976 I 157, qui admet cependant que l’exécuteur paie les droits de succession quand le droit cantonal lui en fait l’obligation ou si le de cujus a demandé que les legs soient délivrés « francs de droits » et les réf. cit.). Si, ce qui est souvent utile, l’exécuteur testamentaire veut régler ces questions, il doit pouvoir s’appuyer sur un mandat des héritiers (Steinaurer, Le droit des successions, 2 e édition 2015, n. 1174b, p. 600). En définitive, l'exécuteur testamentaire doit agir au mieux des intérêts de la succession (TF 5A_522/2014 du 16 décembre 2015 consid 4.3.1 et l’auteur cité). Il jouit à cet égard d'un grand pouvoir d'appréciation, limité, d'une part, par le droit de recours des héritiers à l'autorité de surveillance, d'autre part, par son devoir de diligence sanctionné par sa responsabilité à leur égard (TF 5A_522/2014 du 16 décembre 2015 consid 4.3.1 ; ATF 101 II 47 consid. 2b et 2c). 4.1.2 Aux termes de l’art. 18 al. 1 et 5 LMSD, l’impôt sur les successions est dû non seulement par les héritiers, mais également par l’exécuteur testamentaire, dans la mesure où il a un pouvoir de disposition sur les biens soumis à l’impôt sur les successions. 4.2 En l’espèce, c omme le retient l'ordonnance, aucune urgence ne commandait que l'exécuteur testamentaire hypothèque deux immeubles [...] de l'héritier, contre le gré de ce dernier, pour assurer le financement des dettes successorales alors qu'il n'avait pas de mandat spécifique de l'héritier pour le paiement des impôts successoraux. A la date des pourparlers très engagés entre le recourant et le [...], le bordereau d'impôts n'avait pas encore été notifié et n’était pas sur le point de l’être, si bien qu'on peine à comprendre un tel empressement de l'exécuteur testamentaire à signer ces actes, contre la volonté affichée de l'héritier. Sous l'angle d'une éventuelle responsabilité de l'exécuteur testamentaire dans le paiement des impôts, le recourant ne pouvait pas partir du principe que les impôts ne seraient pas acquittés par l'héritier, sachant d'une part, que des démarches similaires avaient été entreprises par l'intimé et que l'ACI n'avait même pas encore notifié le bordereau provisoire de l'impôt successoral. En outre, l'exécuteur testamentaire, même s'il peut être recherché, n'est pas le débiteur principal des dettes de l'impôt successoral, de sorte que l'urgence ne se justifiait pas.</w:t>
      </w:r>
    </w:p>
    <w:p>
      <w:r>
        <w:rPr>
          <w:b/>
        </w:rPr>
        <w:t>E. 5</w:t>
      </w:r>
    </w:p>
    <w:p>
      <w:r>
        <w:t>al. 1 ch. 3 et 125 al. 2 CDPJ [Code de droit privé judiciaire vaudois du 12 janvier 2010 ; BLV 211.02]). Les art. 104 à 109 CDPJ sont également applicables, compte tenu du renvoi de l'art. 111 al. 1 CDPJ. La surveillance de l’exécuteur testamentaire relève de la juridiction gracieuse (Künzle, loc. cit.). Le CPC (Code de procédure civile du 19 décembre 2008 ; RS 272) est applicable à titre supplétif (art. 104 et 108 CDPJ). La procédure sommaire est ainsi applicable (art. 248 let. e CPC). L'application de la procédure sommaire implique que la voie de droit ouverte est celle de l'art. 109 al. 3 CDPJ, auquel les art. 319 ss CPC s'appliquent à titre supplétif (art. 104 al. 1 CDPJ) et que le recours doit être introduit dans les dix jours (art. 321 al. 2 CPC). Le recours doit être déposé auprès de la Chambre des recours civile, dont la compétence découle de l'art. 73 LOJV (loi d'organisation judiciaire du 12 décembre 1979 ; BLV 173.01).</w:t>
      </w:r>
    </w:p>
    <w:p>
      <w:r>
        <w:rPr>
          <w:b/>
        </w:rPr>
        <w:t>E. 5.1</w:t>
      </w:r>
    </w:p>
    <w:p>
      <w:r>
        <w:t>Le recourant considère que le premier juge n'avait pas à tenir compte des éléments survenus postérieurement à la notification du dispositif de l'ordonnance attaquée. La décision, rendue sous forme de dispositif, date du 22 juin 2020 et l'ordonnance motivée du 11 septembre 2020. Cette dernière retient que, le 22 juin 2020, l'ACI a notifié un bordereau provisoire aux héritiers de B.F.________, que, le 2 juillet 2020, l'intimé a versé l'entier de la somme depuis son compte personnel, puis un montant complémentaire le 9 juillet 2020.</w:t>
      </w:r>
    </w:p>
    <w:p>
      <w:r>
        <w:rPr>
          <w:b/>
        </w:rPr>
        <w:t>E. 5.2</w:t>
      </w:r>
    </w:p>
    <w:p>
      <w:r>
        <w:t>L'art. 256 al. 2 CPC dispose qu'une décision prise dans une procédure relevant de la juridiction gracieuse, comme en l'espèce, qui s'avère ultérieurement être incorrecte peut être, d'office ou sur requête, annulée ou modifiée, à moins que la loi ou la sécurité du droit ne s'y opposent. Cette disposition prévoit ainsi, pour des raisons pratiques et par analogie aux décisions administratives auxquelles elles peuvent être assimilées, une possibilité facilitée de rectification, sans obligation de procéder par le recours aux voies de droit habituelles, des décisions prises dans une procédure relevant de la juridiction gracieuse, telle la correction d'un certificat d'héritier erroné (ATF 141 III 43 consid. 2.5.2 ; TF 5A_570/2017 du 27 août 2018 consid. 5.2).</w:t>
      </w:r>
    </w:p>
    <w:p>
      <w:r>
        <w:rPr>
          <w:b/>
        </w:rPr>
        <w:t>E. 5.3</w:t>
      </w:r>
    </w:p>
    <w:p>
      <w:r>
        <w:t>Si la loi permet au juge de rapporter d'office une décision en raison d'éléments nouveaux, il faut admettre que le juge peut d'office intégrer des éléments qui sont parvenus à sa connaissance entre le moment de la prise de décision et celle de sa motivation, d'autant plus qu'en l'espèce, ces éléments n'ont pas modifié la décision initiale. Le moyen est infondé.</w:t>
      </w:r>
    </w:p>
    <w:p>
      <w:r>
        <w:rPr>
          <w:b/>
        </w:rPr>
        <w:t>E. 6.1</w:t>
      </w:r>
    </w:p>
    <w:p>
      <w:r>
        <w:t>Le recourant considère que l'intimé n'a pas rendu vraisemblable le risque d'un préjudice difficilement réparable. Il invoque ainsi une violation de l'art. 261 CPC par le premier juge.</w:t>
      </w:r>
    </w:p>
    <w:p>
      <w:r>
        <w:rPr>
          <w:b/>
        </w:rPr>
        <w:t>E. 6.2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décembre 2018/712 consid. 4.2). Le risque de préjudice difficilement réparable suppose l’urgence, laquelle est réalisée de façon générale chaque fois que le retard apporté à une solution provisoire met en péril les intérêts d’une des parties (Colombini, op. cit., n. 6.1 ad art. 261 CPC). Par préjudice, on entend tant les dommages patrimoniaux que les dommages immatériels. Si les conditions sont réalisées, le juge ordonne les mesures provisionnelles nécessaires et procède à une pesée des intérêts en présence en prenant en compte le droit présumé du requérant à la mesure conservatoire et les conséquences que celle-ci entraînerait pour le requis (Bohnet, op. cit., nn. 11 et 17 ad art. 261 CPC). Conformément à l’art. 262 CPC, le tribunal peut ordonner toute mesure provisionnelle propre à prévenir ou à faire cesser le préjudice. Il peut notamment prononcer des mesures d’interdiction (let. a), ordonner la cessation d’un état de fait illicite (let. b), donner un ordre à une autorité qui tient un registre ou à un tiers (let. c), exiger la fourniture d’une prestation en nature (let. d) ou ordonner le versement d’une prestation en argent, lorsque la loi le prévoit (let e).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op. cit.,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 ).</w:t>
      </w:r>
    </w:p>
    <w:p>
      <w:r>
        <w:rPr>
          <w:b/>
        </w:rPr>
        <w:t>E. 6.3</w:t>
      </w:r>
    </w:p>
    <w:p>
      <w:r>
        <w:t>Il est évident que, si l'héritier disposait d'une autre source de financement qu'il jugeait plus favorable, il est vraisemblable que la constitution d'un gage immobilier sur ses immeubles liée au service de l'intérêt d'une hypothèque est susceptible de lui causer un préjudice difficilement réparable. On peut encore rappeler que le recourant a agi sans mandat spécifique de l'héritier pour le paiement des impôts successoraux et que, selon ses propres termes, il entendait « accepter et signer incessamment » les deux offres de financement du [...], ce qui rend d'autant plus vraisemblable et l'atteinte et l'urgence. Le moyen est infondé.</w:t>
      </w:r>
    </w:p>
    <w:p>
      <w:r>
        <w:rPr>
          <w:b/>
        </w:rPr>
        <w:t>E. 7.1</w:t>
      </w:r>
    </w:p>
    <w:p>
      <w:r>
        <w:t>Le recourant invoque une violation de l'art. 106 CPC. On ne peut sur ce point lui nier un intérêt digne de protection, si bien que la recevabilité de son recours ne se pose pas ici.</w:t>
      </w:r>
    </w:p>
    <w:p>
      <w:r>
        <w:rPr>
          <w:b/>
        </w:rPr>
        <w:t>E. 7.2</w:t>
      </w:r>
    </w:p>
    <w:p>
      <w:r>
        <w:t>Les frais sont mis à la charge de la partie succombante, sauf si aucune des parties n'obtient entièrement gain de cause, auquel cas le juge répartit les frais selon le sort de la cause (art. 106 CPC). Une partie succombe entièrement au sens de l'art. 106 al. 1 CPC même si les prétentions de son adversaire sont aussi rejetées dans une proportion minime, pour autant que celui-ci obtienne gain de cause sur le principe et l'essentiel des montants réclamés (CREC 13 novembre 2018/349 consid. 9 ; CREC 5 mai 2014/161 consid. 3).</w:t>
      </w:r>
    </w:p>
    <w:p>
      <w:r>
        <w:rPr>
          <w:b/>
        </w:rPr>
        <w:t>E. 7.3</w:t>
      </w:r>
    </w:p>
    <w:p>
      <w:r>
        <w:t>En l'espèce, l'intimé a requis et obtenu du premier juge, par voie de mesures superprovisionnelles, qu'il soit fait interdiction au recourant de signer des contrats de crédits hypothécaires d'une part, et de vendre les actifs de la succession, d'autre part. Il a conclu, par la voie provisionnelle, au maintien des interdictions prononcées par voies de mesures superprovisionnelles et a obtenu gain de cause, sous réserve que l'interdiction soit limitée dans le temps. De son côté, le recourant a conclu au rejet des conclusions de la requête. Le recourant a succombé sur le principe même d'une situation commandant le prononcé de mesures provisionnelles et sur les conclusions très largement octroyées par le premier juge à l'intimé. Il apparaît ainsi que les conclusions de l'intimé n'ont été rejetées que dans une proportion minime, si bien qu'il était juste de considérer le recourant comme étant la partie succombante. On ne discerne aucune violation de l'art. 106 al. 1 CPC. Le moyen est infondé.</w:t>
      </w:r>
    </w:p>
    <w:p>
      <w:r>
        <w:rPr>
          <w:b/>
        </w:rPr>
        <w:t>E. 8</w:t>
      </w:r>
    </w:p>
    <w:p>
      <w:r>
        <w:t>En définitive, le recours doit être rejeté pour autant qu'il soit recevable et l'ordonnance confirmée. Les frais judiciaires de deuxième instance, arrêtés à 2'400 fr. (art. 74 al. 1 TFJC [ Tarif des frais judiciaires civils du 28 septembre 2010 ; BLV 270.11.5] ) sont mis à la charge du recourant. Ce dernier versera à l'intimé des dépens de deuxième instance, arrêtés à 1'500 fr. (art. 8 TDC [Tarif des dépens en matière civile du 23 novembre 2010 ; BLV 270.11.6]. Par ces motifs, la Chambre des recours civile du Tribunal cantonal, prononce : I. Le recours est rejeté dans la mesure de sa recevabilité. II. L’ordonnance est confirmée. III. Les frais judiciaires de deuxième instance, arrêtés à 2'400 fr. (deux mille quatre cents francs), sont mis à la charge du recourant D.________. IV. Le recourant D.________ doit verser à l’intimé A.F.________ la somme de 1'500 fr. (mille cinq cents francs) à titre de dépens de deuxième instance. V. L’arrêt est exécutoire. La vice-présidente : La greffière : Du L'arrêt qui précède, dont la rédaction a été approuvée à huis clos, est notifié à : ‑ Me Guy Mustaki (pour D.________), ‑ Me Antoine Eigenmann (pour A.F.________).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