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850 vom 13. November 2020</w:t>
      </w:r>
    </w:p>
    <w:p>
      <w:r>
        <w:t>VD Tribunal cantonal, 2020-11-13, FR</w:t>
      </w:r>
    </w:p>
    <w:p>
      <w:r>
        <w:rPr>
          <w:b/>
        </w:rPr>
        <w:t xml:space="preserve">Quelle: </w:t>
      </w:r>
      <w:r>
        <w:t>https://mcp.opencaselaw.ch/entscheid/vd_findinfo_HC___2020___850</w:t>
      </w:r>
    </w:p>
    <w:p>
      <w:r>
        <w:t>FR: VD_FINDINFO HC / 2020 / 850 du 13 novembre 2020</w:t>
      </w:r>
    </w:p>
    <w:p>
      <w:r>
        <w:t>IT: VD_FINDINFO HC / 2020 / 850 del 13 novembre 2020</w:t>
      </w:r>
    </w:p>
    <w:p>
      <w:pPr>
        <w:pStyle w:val="Heading2"/>
      </w:pPr>
      <w:r>
        <w:t>Regeste</w:t>
      </w:r>
    </w:p>
    <w:p>
      <w:r>
        <w:t>INTERPRÉTATION{PROCÉDURE}, RECTIFICATION DE LA DÉCISION, INTÉRÊT DIGNE DE PROTECTION, REJET DE LA DEMANDE | 29 al. 2 Cst., 263 CPC (CH), 319 let. b ch. 1 CPC (CH), 334 al. 1 CPC (CH), 334 al. 3 CPC (CH), 59 al. 2 let. a CPC (CH)</w:t>
      </w:r>
    </w:p>
    <w:p>
      <w:pPr>
        <w:pStyle w:val="Heading2"/>
      </w:pPr>
      <w:r>
        <w:t>Erwägungen</w:t>
      </w:r>
    </w:p>
    <w:p>
      <w:r>
        <w:rPr>
          <w:b/>
        </w:rPr>
        <w:t>E. 1</w:t>
      </w:r>
    </w:p>
    <w:p>
      <w:r>
        <w:t>CPC), est recevable.</w:t>
      </w:r>
    </w:p>
    <w:p>
      <w:r>
        <w:rPr>
          <w:b/>
        </w:rPr>
        <w:t>E. 1.1</w:t>
      </w:r>
    </w:p>
    <w:p>
      <w:r>
        <w:t>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texte français (au contraire des versions allemande et italienne) est maladroit en ce qu'il suggère que seules les décisions interprétatives ou rectificatives peuvent faire l'objet d'un recours, alors que le recours est possible contre les décisions qui statuent sur une requête d'interprétation ou de rectification (Schweizer, Commentaire romand, Code de procédure civile, Bâle 2019, 2 e éd [cité ci-après : CR CPC], n. 18 ad art. 334 CPC). Le Tribunal fédéral a confirmé que la voie de recours contre le refus d’interprétation ou de rectification était celle du recours limité au droit (ATF 143 III 520 consid. 6.3 ; Schweizer, CR CPC, op. cit., n. 19 ad art. 334 CPC). Le recours, écrit et motivé, doit être introduit auprès de l'instance de recours, soit la Chambre des recours civile (73 al. 1 LOJV [loi vaudoise d'organisation judiciaire du 12 décembre 1979 ; BLV 173.01]), dans un délai de dix jours à compter de la notification de la décision motivée (art. 321 al. 2 CPC).</w:t>
      </w:r>
    </w:p>
    <w:p>
      <w:r>
        <w:rPr>
          <w:b/>
        </w:rPr>
        <w:t>E. 1.2</w:t>
      </w:r>
    </w:p>
    <w:p>
      <w:r>
        <w:t>L'existence d'un intérêt du recourant est une condition de recevabilité de tout recours (ATF 127 III 429 consid. lb ; TF 5A_282/2016 du 17 janvier 2017 consid. 3.2.1 ; CREC 20 décembre 2018/380 consid. 1.1). Cette condition s'examine, en recours comme en première instance, à la rigueur des dispositions applicables en la matière, soit faute de disposition contraire, de l'art. 59 CPC. Conformément à l'art. 59 al. 2 let. a CPC, le justiciable qui fait valoir une prétention doit démontrer qu'il a un intérêt digne de protection à voir le juge statuer sur sa demande. Il doit ainsi obtenir un avantage, factuel ou juridique, du résultat de la procédure (TF 5A_282/2016 précité consid. 3.2.1 et les références).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et les références ; TF 5A_453/2017 du 19 juin 2017 consid. 3 ; 5A_345/2015 du 3 juin 2015 consid. 1.2.2).</w:t>
      </w:r>
    </w:p>
    <w:p>
      <w:r>
        <w:rPr>
          <w:b/>
        </w:rPr>
        <w:t>E. 1.3</w:t>
      </w:r>
    </w:p>
    <w:p>
      <w:r>
        <w:t>S’agissant de leur qualité pour recourir, les recourants invoquent que l'omission de fixer un délai pour agir au fond les priverait de l'exception de l'art. 198 let. h CPC et les forcerait en conséquence à passer par le préalable de la conciliation pour agir au fond. Ils auraient donc intérêt à se voir octroyer un tel délai et à recourir contre la décision attaquée. En l’espèce, au vu du désavantage procédural et a fortiori économique – les recourants étant assistés depuis le début de la procédure de mesures provisionnelles – provoqué par la décision attaquée, qui refuse de compléter le dispositif de l'ordonnance du 16 mars 2020 afin d'y prévoir un délai pour ouvrir action au fond, les recourants disposent d'un intérêt digne de protection pour recourir. Pour le surplus, formé en temps utile, le recours, écrit et motivé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Bâle 2017,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En procédure de recours, les allégations de faits et les preuves nouvelles sont irrecevables (art. 326 al. 1 CPC). En l’espèce, à l’exception des pièces dites de forme (pièces 1, 2, 3a, 3b et 4) qui sont recevables, la pièce 5 – à savoir un arrêt de la Cour d’appel civile du 9 octobre 2020/432 dans la cause JP20.005036-201214 – est irrecevable, dans la mesure où il s’agit d’une pièce nouvelle.</w:t>
      </w:r>
    </w:p>
    <w:p>
      <w:r>
        <w:rPr>
          <w:b/>
        </w:rPr>
        <w:t>E. 3.1</w:t>
      </w:r>
    </w:p>
    <w:p>
      <w:r>
        <w:t>Les recourants reprochent au premier juge d’avoir refusé de compléter le dispositif de l'ordonnance de mesures provisionnelles afin d'y ajouter un chiffre par lequel ils se verraient impartir un délai pour ouvrir action au fond.</w:t>
      </w:r>
    </w:p>
    <w:p>
      <w:r>
        <w:rPr>
          <w:b/>
        </w:rPr>
        <w:t>E. 3.2.1</w:t>
      </w:r>
    </w:p>
    <w:p>
      <w:r>
        <w:t>Aux termes de l'art. 334 al. 1, 1 re phr., CPC, si le dispositif de la décision est peu clair, contradictoire ou incomplet ou qu'il ne correspond pas à la motivation, le tribunal procède, sur requête ou d'office, à l'interprétation ou à la rectification de la décision. A partir du moment où il l'a prononcée, le juge ne peut corriger sa décision, en vertu du principe de dessaisissement, même s'il a le sentiment de s'être trompé. Une erreur de fait ou de droit ne peut être rectifiée que par les voies de recours (TF 5A_6/2016 du 15 septembre 2016 consid. 4.3.1, non publié à l'ATF 142 III 695 ; ATF 143 III 520 consid. 6.1). Une procédure d'interprétation ou de rectification permet toutefois exceptionnellement au juge de corriger une décision déjà communiquée. Le but de cette procédure n'est pas de modifier la décision du tribunal, mais de la clarifier ou de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(TF 5A_6/2016 précité consid. 4.3.1 ; TF 5A_972/2016 du 24 août 2017 consid. 4.2 ; TF 5A_760/2016 du 5 septembre 2017 consid. 9.2 ; également ATF 143 III 520 consid. 6.1 et les références citées).</w:t>
      </w:r>
    </w:p>
    <w:p>
      <w:r>
        <w:rPr>
          <w:b/>
        </w:rPr>
        <w:t>E. 3.2.2</w:t>
      </w:r>
    </w:p>
    <w:p>
      <w:r>
        <w:t>L'art. 263 CPC prévoit que si l'action au fond n'est pas encore pendante, le tribunal impartit au requérant un délai pour le dépôt de la demande, sous peine de caducité des mesures provisionnelles ordonnées. Cette norme est de droit impératif et vaut pour toutes les mesures provisionnelles (Schumacher, Das Bauhandwerkpfandrecht, Ergänzungsband zur 3. Auflage, 2011, n. 663, p. 208). Faute de mention d'un tel délai dans la décision, les mesures demeurent valides tant qu'elles n'ont pas été modifiées (art. 268 CPC), rectifiées en application de l'art. 334 al. 1 CPC ou annulées par une décision sur recours (CACI 16 août 2016/453 consid. 3.2.2 ; Bohnet, CR CPC, op. cit., n. 10 ad art. 263). En matière d'hypothèque légale inscrite à titre provisoire en particulier, la Cour d’appel civile du Tribunal cantonal a considéré que si le tribunal omet d'impartir le délai de l'art. 263 CPC pour ouvrir action au fond et/ou de rappeler qu'à ce défaut les mesures provisoires ordonnées sont caduques, il appartient au propriétaire du bien fonds grevé de solliciter en recourant aux voies de droit à disposition – rectification, respectivement appel ou recours – le nécessaire complètement du dispositif en ce sens (CACI 17 janvier 2017/19 consid. 4.2.2 ; CACI 16 août 2016/453 consid. 3.2.2).</w:t>
      </w:r>
    </w:p>
    <w:p>
      <w:r>
        <w:rPr>
          <w:b/>
        </w:rPr>
        <w:t>E. 3.3</w:t>
      </w:r>
    </w:p>
    <w:p>
      <w:r>
        <w:t>En l'espèce, les recourants avaient déposé une requête de mesures provisionnelles, à laquelle l'autorité précédente avait partiellement donné suite par l'ordonnance de mesures provisionnelles du 16 mars 2020. Au moment du prononcé de cette ordonnance, l'action au fond n'était pas encore pendante. En application de l'art. 263 CPC, l'autorité précédente aurait dès lors dû fixer dans cette ordonnance un délai aux recourants pour ouvrir action au fond, ce qu’elle n’a pas fait. Cela dit, il est évident au vu de la jurisprudence qui précède (cf. supra consid. 3.2.1) et de la lecture de l'ordonnance de mesures provisionnelles susmentionnée que la modification de cette décision ne pouvait être obtenue dans le cas d'espèce par le biais de la procédure – exceptionnelle – de rectification prévue par l'art. 334 CPC. La  motivation de l’ordonnance de mesures provisionnelles ne contient aucune trace du fait que le juge délégué aurait voulu fixer un tel délai ; ce point ne fait en effet l’objet d’aucun considérant de l’ordonnance. On ne saurait dès lors clarifier une telle intention manquante dans le seul dispositif. Le juge semble au contraire avoir ici oublié de statuer sur cette question, de sorte qu'il ne saurait par le biais de la procédure de l'art. 334 CPC compléter, ensuite de sa notification, la décision sur un point sur lequel il n'avait pas tranché. On ne saurait à cet égard comparer la présente situation avec celle où le juge, après avoir statué au fond, imparti par erreur aux parties un délai pour agir au fond (cf. TF 5A_278/2013 consid. 3.2 invoqué par les recourants). Les recourants ont certes pris en première instance une conclusion en fixation d'un délai pour agir au fond. Il n'en reste pas moins que l'autorité précédente n'a pas, dans l'ordonnance de mesures provisionnelles du 16 mars 2020, statué spécifiquement sur celle-ci. Au plus a-t-elle indiqué dans les motifs comme dans le dispositif rejeter « toutes autres ou plus amples conclusions des requérants » ce qui pourrait impliquer un refus de fixer un délai. Une modification de cet aspect de l'ordonnance ne pourrait toutefois être obtenue qu'en utilisant les voies de recours et non par le biais d'une action en interprétation et rectification. Pour ces motifs, c’est à juste titre que le premier juge a rejeté la requête en rectification.</w:t>
      </w:r>
    </w:p>
    <w:p>
      <w:r>
        <w:rPr>
          <w:b/>
        </w:rPr>
        <w:t>E. 4.1</w:t>
      </w:r>
    </w:p>
    <w:p>
      <w:r>
        <w:t>Les recourants font également valoir une violation de leur droit d'être entendus. Ils soutiennent que des déterminations de l'intimée sur leur requête en interprétation et rectification ne leur auraient pas été transmises avant la notification de la décision entreprise statuant sur celle-ci. Ils en déduisent, sans autre motivation, à ce que la décision soit annulée et la cause renvoyée à l'autorité précédente, « à moins qu'il ne soit fait droit à la demande en interprétation et en rectification, ce qui rendrait le vice une simple formalité dont la réparation par renvoi entraînerait des retards inutiles, incompatible avec l'intérêt des parties à un prononcé rapide ».</w:t>
      </w:r>
    </w:p>
    <w:p>
      <w:r>
        <w:rPr>
          <w:b/>
        </w:rPr>
        <w:t>E. 4.2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S. 223 consid. 2.3 et les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w:t>
      </w:r>
    </w:p>
    <w:p>
      <w:r>
        <w:rPr>
          <w:b/>
        </w:rPr>
        <w:t>E. 4.3</w:t>
      </w:r>
    </w:p>
    <w:p>
      <w:r>
        <w:t>En l'espèce, l'intimée a déposé le 14 septembre 2020 des déterminations sur la requête de rectification formée par les recourants. Il n'apparaît pas que ceux-ci en aient eu connaissance avant la notification de la décision entreprise. Leur droit d'être entendus a ainsi bien été violé par l'autorité précédente. Cela dit, le sort de leur demande en interprétation et rectification – qui consistait à obtenir le complètement du dispositif de l'ordonnance de mesures provisionnelles par un chiffre prévoyant un délai pour déposer la demande, comme ils l'avaient requis dans leur requête de mesures provisionnelles – pouvait être tranché aisément en regard de la jurisprudence constante du Tribunal fédéral, à la seule lumière des faits invoqués dans leur demande en interprétation et rectification. Le sort de la demande était donc scellé, nonobstant les déterminations de l'intimée, sur la seule base d'un examen juridique des faits allégués dans la demande, examen pour lesquelles la Chambre de céans dispose d'un plein pouvoir. On doit dès lors considérer que le vice a été réparé, les recourants ayant pu dans leur recours se déterminer sur les moyens formulés par l'intimée le 14 septembre 2020. Au surplus, au vu de ce qui précède (cf. supra consid. 3), le renvoi de la procédure au premier juge afin de permettre aux recourants de s’exprimer sur les déterminations de l'intimée du 14 septembre 2020 constituerait une vaine formalité et aboutirait à un allongement inutile de la procédure, dès lors qu'au vu du complètement demandé, il était hors de question d'y procéder par le biais de la procédure prévue par l’art. 334 CPC. La Chambre de céans relève à cet égard que les recourants n'indiquent aucunement quels arguments ils pourraient faire valoir en cas de renvoi et soulignent eux-mêmes vouloir éviter un renvoi inutile.</w:t>
      </w:r>
    </w:p>
    <w:p>
      <w:r>
        <w:rPr>
          <w:b/>
        </w:rPr>
        <w:t>E. 5</w:t>
      </w:r>
    </w:p>
    <w:p>
      <w:r>
        <w:t>Au vu de ce qui précède, le recours manifestement mal fondé, doit être rejeté selon le mode procédural de l'art. 322 CPC et le prononcé attaqué confirmé. Les frais judiciaires de deuxième instance, arrêtés à 200 fr. (art. 16 et 72 al. 1 TFJC [tarif du 28 septembre 2010 des frais judiciaires civils ; BLV 270.11.5], sont mis à la charge des recourants qui succombent (art. 106 al. 1 CPC), solidairement entre eux (art. 106 al. 3 CPC). Il n'y a pas lieu d'allouer des dépens de deuxième instance, l'intimée n'ayant pas été invitée à procéder.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des recourants L.________ et R.________ SA, solidairement entre eux IV. L’arrêt, rendu sans dépens, est exécutoire. La vice-présidente : La greffière : Du L'arrêt qui précède, dont la rédaction a été approuvée à huis clos, est notifié à : ‑ Mes Vincent Mignon et Emmanuelle Lévy (pour L.________ et R.________ SA), ‑ Me Audrey Pion (pour K.________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