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849 vom 3. Dezember 2020</w:t>
      </w:r>
    </w:p>
    <w:p>
      <w:r>
        <w:t>VD Tribunal cantonal, 2020-12-03, FR</w:t>
      </w:r>
    </w:p>
    <w:p>
      <w:r>
        <w:rPr>
          <w:b/>
        </w:rPr>
        <w:t xml:space="preserve">Quelle: </w:t>
      </w:r>
      <w:r>
        <w:t>https://mcp.opencaselaw.ch/entscheid/vd_findinfo_HC___2020___849</w:t>
      </w:r>
    </w:p>
    <w:p>
      <w:r>
        <w:t>FR: VD_FINDINFO HC / 2020 / 849 du 3 décembre 2020</w:t>
      </w:r>
    </w:p>
    <w:p>
      <w:r>
        <w:t>IT: VD_FINDINFO HC / 2020 / 849 del 3 dicembre 2020</w:t>
      </w:r>
    </w:p>
    <w:p>
      <w:pPr>
        <w:pStyle w:val="Heading2"/>
      </w:pPr>
      <w:r>
        <w:t>Regeste</w:t>
      </w:r>
    </w:p>
    <w:p>
      <w:r>
        <w:t>DÉBITEUR, DIRECTIVE{INJONCTION}, OBLIGATION D'ENTRETIEN, TRANSACTION{ACCORD}, MODIFICATION{EN GÉNÉRAL}, VICE DU CONSENTEMENT | 177 CC, 308 al. 1 let. b CPC (CH), 308 al. 2 CPC (CH)</w:t>
      </w:r>
    </w:p>
    <w:p>
      <w:pPr>
        <w:pStyle w:val="Heading2"/>
      </w:pPr>
      <w:r>
        <w:t>Erwägungen</w:t>
      </w:r>
    </w:p>
    <w:p>
      <w:r>
        <w:rPr>
          <w:b/>
        </w:rPr>
        <w:t>E. 4</w:t>
      </w:r>
    </w:p>
    <w:p>
      <w:r>
        <w:t>Au vu de ce qui précède, l’appel, manifestement infondé, doit être rejeté selon le mode procédural de l’art. 312 al. 1 CPC, et l’ordonnance attaquée être confirmée. Compte tenu de l’issue du litige, les frais judiciaires de deuxième instance, arrêtés à 600 fr. (art. 63 et 65 al. 2 TFJC [tarif des frais judiciaires civils du 28 septembre 2010 ; BLV 270.11.5]), sont mis à la charge de l’appelante, qui succombe (art. 106 al. 1 CPC). L’intimé n’ayant pas été invité à déposer de réponse, il ne se justifie pas de lui allouer des dépens. Par ces motifs, le Juge délégué de la Cour d’appel civile prononce : I. L’appel est rejeté. II. L’ordonnance de mesures provisionnelles rendue le 19 octobre 2020 par la Présidente du Tribunal civil de l’arrondissement de La Côte est confirmée. III. Les frais judiciaires de deuxième instance, arrêtés à 600 fr. (six cents francs), sont mis à la charge de l’appelante A.Q.________. IV. L’arrêt est exécutoire. Le juge délégué : La greffière : Du Le présent arrêt, dont la rédaction a été approuvée à huis clos, est notifié en expédition complète à : ‑ Me Patricia Michellod, av. (pour A.Q.________), ‑ Me Yves Bonard, av. (pour B.Q.________), et communiqué, par l'envoi de photocopies, à : ‑ M. Vice-président du Tribunal civil d’arrondissement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