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838 vom 18. Dezember 2020</w:t>
      </w:r>
    </w:p>
    <w:p>
      <w:r>
        <w:t>VD Tribunal cantonal, 2020-12-18, FR</w:t>
      </w:r>
    </w:p>
    <w:p>
      <w:r>
        <w:rPr>
          <w:b/>
        </w:rPr>
        <w:t xml:space="preserve">Quelle: </w:t>
      </w:r>
      <w:r>
        <w:t>https://mcp.opencaselaw.ch/entscheid/vd_findinfo_HC___2020___838</w:t>
      </w:r>
    </w:p>
    <w:p>
      <w:r>
        <w:t>FR: VD_FINDINFO HC / 2020 / 838 du 18 décembre 2020</w:t>
      </w:r>
    </w:p>
    <w:p>
      <w:r>
        <w:t>IT: VD_FINDINFO HC / 2020 / 838 del 18 dicembre 2020</w:t>
      </w:r>
    </w:p>
    <w:p>
      <w:pPr>
        <w:pStyle w:val="Heading2"/>
      </w:pPr>
      <w:r>
        <w:t>Regeste</w:t>
      </w:r>
    </w:p>
    <w:p>
      <w:r>
        <w:t>DÉCISION DE RENVOI, TRAIN DE VIE, MESURE PROVISIONNELLE, OBLIGATION D'ENTRETIEN, ÉTAT DE FAIT | 163 al. 1 CC, 176 al. 1 ch. 1 CC, 261 al. 1 CPC (CH), 318 al. 1 let. c ch. 2 CPC (CH), 59 al. 2 let. a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CHF 10'000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constatation inexacte des faits (art. 310 CPC). L'instance d'appel dispose d'un plein pouvoir d'examen de la cause en fait et en droit (ATF 142 III 413 consid. 2.2.4 ; ATF 138 III 374 consid. 4.3.1). Elle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[ci-après : CR-CPC], nn. 2 ss ad art. 310 CPC). Le juge d'appel contrôle librement l'appréciation des preuves effectuée par le juge de première instance et vérifie si celui-ci pouvait admettre les faits qu’il a retenus ( art. 157 CPC en relation avec l'art. 310 let. b CPC ; ATF 138 III 374 consid. 4.3.1 ; TF 4D_72/2017 du 18 mars 2018 consid. 2). Le large pouvoir d'examen en fait et en droit ainsi défini s'applique même si la décision attaquée est de nature provisionnelle (Juge délégué CACI 6 décembre 2016/623 consid. 2.1 in JdT 2017 III 39). Que la cause soit soumise à la maxime des débats (art. 55 al. 1 CPC) ou, comme en matière de mesures protectrices de l'union conjugale, à la maxime inquisitoire (art. 55 al. 2, art. 272 et, pour le sort des enfants, art. 296 al. 1 CPC), il incombe toutefois au recourant de motiver son appel (art. 311 al. 1 CPC), c'est-à-dire de démontrer le caractère erroné de la motivation attaquée (ATF 141 III 569 consid. 2.3.3 ; ATF 138 III 374 consid. 4.3.1).</w:t>
      </w:r>
    </w:p>
    <w:p>
      <w:r>
        <w:rPr>
          <w:b/>
        </w:rPr>
        <w:t>E. 2.2</w:t>
      </w:r>
    </w:p>
    <w:p>
      <w:r>
        <w:t>Au stade des mesures provisionnelles, l’autorité saisie statue sous l’angle de la vraisemblance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w:t>
      </w:r>
    </w:p>
    <w:p>
      <w:r>
        <w:rPr>
          <w:b/>
        </w:rPr>
        <w:t>E. 2.3</w:t>
      </w:r>
    </w:p>
    <w:p>
      <w:r>
        <w:t>Le droit d'être entendu – qui comprend le droit à la preuve – étant de nature formelle, sa violation conduit à l'annulation de la décision attaquée, indépendamment des chances de succès du recours sur le fond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La jurisprudence permet ainsi de renoncer à l’annulation d’une décision violant le droit d’être entendu lorsque l’autorité de deuxième instance dispose d’un plein pouvoir d’examen lui permettant de réparer le vice en seconde instance et lorsque l’informalité n’est pas de nature à influer sur le jugement (Haldy, CR-CPC,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5A_887/2017 du 16 février 2018 consid. 6.1 ; TF 4A_283/2013 du 20 août 2013, RSPC1/2014 5). Aux termes de l’art. 318 al. 1 let. c ch. 2 CPC, l’instance d’appel peut renvoyer la cause à la première instance lorsque l’état de fait doit être complété sur des points essentiels (cf. également ATF 138 III 374 consid. 4.3.2 in fine ; TF 5A_939/2012 du 8 mars 2013 consid. 4.2.1). Dans ce cas de figure, la juridiction de première instance rendra une nouvelle décision, mais demeurera liée par les considérants de l’arrêt lui ayant renvoyé la cause (CACI 8 décembre 2017/570 consid. 3.3 ; Jeandin, op. cit., n. 4 ad art. 318 CPC ; Colombini, Code de procédure civile, Condensé de la jurisprudence fédérale et vaudoise, Lausanne 2018, n. 2.3.4.2 ad art. 318 CPC).</w:t>
      </w:r>
    </w:p>
    <w:p>
      <w:r>
        <w:rPr>
          <w:b/>
        </w:rPr>
        <w:t>E. 3.1</w:t>
      </w:r>
    </w:p>
    <w:p>
      <w:r>
        <w:t>L’appelante reproche en premier lieu au président d’avoir refusé de déterminer la date de la séparation effective des parties, au motif que celle-ci n’aurait pas à être tranchée à ce stade mais seulement au moment du divorce, alors qu’elle estime pour sa part qu’il aurait dû le faire, puisqu’elle se prévalait d’une contribution d’entretien fondée sur la méthode du train de vie, laquelle nécessite d’établir les dépenses effectives des époux durant la vie commune et donc de définir la période de référence.</w:t>
      </w:r>
    </w:p>
    <w:p>
      <w:r>
        <w:rPr>
          <w:b/>
        </w:rPr>
        <w:t>E. 3.2</w:t>
      </w:r>
    </w:p>
    <w:p>
      <w:r>
        <w:t>Selon l'art. 176 al. 1 ch. 1 CC relatif à l'organisation de la vie séparée des époux, le juge fixe les contributions d'entretien à verser à verser respectivement aux enfants et à l'époux. Il le fait en application de l'art. 163 al. 1 CC (ATF 137 III 385 consid. 3.1).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 er novembre 2013 consid. 4.1 et les références citées). La loi n'impose pas au juge de méthode de calcul particulière pour fixer la quotité de la contribution d'entretien (ATF 140 111 337 consid. 4.2.2 ; ATF 128 Ill 411 consid. 3.2.2). La détermination de celle-ci relève du pouvoir d'appréciation du juge du fait, qui applique les règles du droit et de l'équité (art. 4 CC). A cet égard,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au regard des circonstances (ATF 127 III 136 consid. 3a). La méthode du minimum vital avec répartition des excédents est en principe applicable en présence de revenus moyens de la famille, de l’ordre de CHF 8'000 à 9'000 (TF 5A_776/2015 du 4 février 2016 consid. 4.3 ; TF 5A_593/2014 du 23 décembre 2014 consid. 4.1). Selon la jurisprudence, il est admissible de recourir à la méthode du minimum vital élargi avec répartition de l'excédent, lorsque – même malgré 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méthode permet de tenir compte adéquatement du niveau de vie antérieur et des restrictions à celui-ci qui peuvent être imposées à chacun des époux (ATF 140 III 337 consid. 4.2.2 ; ATF 140 III 485 consid 3.3 et les réf. citées). Il n’est pas arbitraire d’appliquer la méthode selon les dépenses effectives en cas de situations financières favorables, même si les époux ne faisaient aucune épargne durant la vie commune (TF 5A_776/2015 du 4 février 2016 consid. 4.2). La nécessité de démontrer avoir réalisé des économies durant l'union n'est en effet pas une condition nécessaire à l'application de cette méthode concrète (TF 5A_137/2017 du 29 juin 2017 consid. 7.2). Par ailleurs, l a seule existence de revenus supérieurs à la moyenne ne permet pas de conclure à l'existence d'une part d'épargne (ATF 140 III 485 consid. 3.3 et 3.5.2, JdT 2015 II 255).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références citées ; TF 5A_475/2011 du 12 décembre 2011 consid. 4.1 ; TF 5A_205/2010 du 12 juillet 2010 consid. 4.2.3, publié in FamPra.ch 2010, p. 894 ; TF 5A_2/2008 du 19 juin 2008, publié in FamPra.ch 2008, p. 941), méthode qui implique un calcul concret (ATF 140 III 485 consid. 3 ; TF 5A_328/2014 du 18 août 2014 consid. 3 ; TF 5A_248/2012 du 28 juin 2012 consid. 6.1 ; TF 5A_860/2011 du 11 juin 2012 consid. 5.1).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 114 II 26 consid. 8 ; TF 5A_440/2014 du 20 novembre 2014 consid. 4.2.1).</w:t>
      </w:r>
    </w:p>
    <w:p>
      <w:r>
        <w:rPr>
          <w:b/>
        </w:rPr>
        <w:t>E. 3.3</w:t>
      </w:r>
    </w:p>
    <w:p>
      <w:r>
        <w:t>Il y a séparation de fait ou suspension de la vie commune lorsque deux époux cessent de vivre ensemble, sans que l'un d'eux fasse dissoudre le lien conjugal ni ne demande la séparation de corps. La suspension de la vie commune est donc un statut qui résulte d'une situation de fait. Il est possible que les époux décident d'un commun accord de vivre séparés, cette suspension à l'amiable déployant tous les effets d'une séparation de fait. Tous les effets qui découlent du lien conjugal comme tel sont maintenus (nom, obligation d'entretien, droits de succession), la modification ne concernant que les effets résultant de la vie commune (demeures séparées, représentation de l'union conjugale). Lorsque les époux ont des demeures séparées, cela ne signifie pas forcément qu’ils ont suspendu la vie commune. Encore faut-il qu’ils n’aient plus aucune demeure commune au sens de l’art. 162 CC. Il se pourrait en outre qu’ils n’en aient (momentanément) plus, mais sans qu’ils aient pour autant suspendu la vie commune, leur séparation de fait était imposée par des circonstances particulières, telles qu’une hospitalisation prolongée ou même définitive, une privation de liberté ou une expulsion du territoire suisse. En l’absence de tout centre « physique » de vie commune, la survie de la communauté intellectuelle et morale suffit à empêcher la suspension de la vie commune ; mais il est clair que, plus la séparation « physique » est longue, plus il faudra prouver la survie de la communauté intellectuelle et morale. Il suffira alors que l’un des époux ne la veuille plus pour que la vie commune soit tenue pour suspendue (CACI 2 juillet 2014/368). La notion de « vie séparée » est l'opposé de celle de vie commune. En principe la vie commune suppose une vie sous le même toit, mais cela n'exclut pas que, notamment pour des motifs professionnels, ils vivent dans des endroits séparés. Ce sont les époux qui déterminent en commun ce qu'ils entendent par vie commune et comment ils veulent l'organiser (TF 5A_242/2015 du 17 juin 2015 consid. 3.2 et 3.3, FamPra.ch 2016 p. 274).</w:t>
      </w:r>
    </w:p>
    <w:p>
      <w:r>
        <w:rPr>
          <w:b/>
        </w:rPr>
        <w:t>E. 3.4</w:t>
      </w:r>
    </w:p>
    <w:p>
      <w:r>
        <w:t>En l’espèce, il est constant que durant la vie commune l’appelante ne percevait aucun revenu et que jusqu’en 2019 l’intimé réalisait quant à lui un salaire mensuel net moyen de l’ordre de 15'000 fr., lequel suffisait à l’époque à faire vivre les époux et leurs deux enfants, entre-temps devenus majeurs. Sur cette base, il appartenait ensuite au premier juge de déterminer la méthode de calcul applicable à la situation financière des époux, prémisse essentielle la fixation d’une quelconque contribution d’entretien. Or, l’ordonnance entreprise comporte une lacune importante en ce sens qu’elle ne précise pas quelle méthode a permis d’arrêter à CHF 5'000 par mois la pension mise à la charge de l’intimé en faveur de l’appelante. Le seul indice à cet égard réside dans le fait que le premier juge a considéré que l’appelante n’avait pas établi le dernier train de vie mené en commun, ce qui indiquerait qu’il entendait faire application de la méthode des dépenses effectives. En l’occurrence, si les revenus de l’intimé sont relativement confortables et pourraient effectivement conduire à l’application de la méthode du train de vie, l’état de fait établi en première instance ne permet pas de déterminer la manière dont les parties dépensaient ces revenus, en particulier s’ils faisaient des économies ou si, en raison des frais supplémentaires liés à l’existence de deux ménages séparés, la quote-part d’épargne existant jusqu’alors est désormais entièrement absorbée par l’entretien courant. L’ordonnance ne permet dès lors pas de déterminer quelle est la méthode de calcul qui doit prévaloir dans le cas concret des époux, ce qui nécessite de compléter l’instruction sur ce point. Dans la mesure où il s’agit d’une question déterminante pour l’issue du litige, sur laquelle les parties doivent pouvoir bénéficier de la double instance cantonale, il se justifie, pour ce motif déjà, d’annuler l’ordonnance et de renvoyer la cause au premier juge afin qu’il complète l’état de fait et statue sur cette question préalable à l’examen de toute contribution d’entretien entre époux. Au demeurant, même si les conditions permettant d’appliquer la méthode des dépenses effective étaient réalisées en l’espèce, l’ordonnance entreprise comporte une deuxième lacune importante en ce sens que le premier juge a refusé de se prononcer sur la date de la séparation des parties, de sorte que l’on ignore même quelle serait la période de référence pour déterminer leur train de vie. A cet égard, le président relève uniquement que l’épouse n’aurait pas établi le dernier train de vie mené en commun, sans pour autant préciser à quelle année il fait référence. Il s’agit pourtant d’une question sur laquelle les parties ne s’entendent pas, puisque l’intimé invoque que la séparation remonterait à 2012, soit au départ de son épouse pour [...], alors que cette dernière allègue avoir constaté seulement lors d’un bref retour en Suisse durant l’été 2016 que leur relation touchait à sa fin. Contrairement à ce que l’appelante soutient en deuxième instance, ce n’est pas parce que l’état de fait de l’ordonnance mentionne que durant l’été 2016, « la requérante est brièvement revenue en Suisse, pour constater que sa relation avec son mari touchait à sa fin », que l’on peut sans autre examen considérer que la séparation serait effectivement intervenue à ce moment-là. Au contraire, le président a clairement relevé que « les parties ne s’accordent pas sur le moment de leur séparation : alors que la requérante argue être effectivement séparée de l’intimé depuis 2017, ce dernier plaide que la séparation remonte, en fait, à 2012, lorsque la requérante est partie habiter à [...], pour ne revenir que très occasionnellement en Suisse ces huit dernières années, et la plupart du temps chez ses parents à [...], et non au domicile familial de [...]». Partant, il y a lieu, à ce stade de rectifier l’état de fait en précisant, s’agissant du bref retour de l’appelante durant l’été 2016, que cette dernière « a allégué que ce serait alors qu’elle aurait constaté que sa relation avec son mari touchait à sa fin ». Compte tenu des changements importants intervenus dans l’organisation familiale entre 2012 et fin 2016 et des répercussions que cela a nécessairement eu sur la situation financière des époux, il ne peut être fait abstraction de la question du moment de la séparation, laquelle doit par conséquent être tranchée au stade des mesures provisionnelles déjà et ce, nonobstant le fait qu’elle ne liera pas le juge du divorce (Chaix, Commentaire romand, 2010 n. 2 ad art. 175 CC, pp. 1231-1232 ; Schwander, in Basler Kommentar, Art. 1-456 ZGB, 6 e éd., 2018, n. 8 ad art. 175 CC ; Bohnet/Hirsch, Commentaire pratique, Droit matrimonial, Fond et procédure, 2016, nn. 25 et 26 ad art. 175 CC ; CACI 6 mars 2012/104 consid. 3d ; CACI</w:t>
      </w:r>
    </w:p>
    <w:p>
      <w:r>
        <w:rPr>
          <w:b/>
        </w:rPr>
        <w:t>E. 7</w:t>
      </w:r>
    </w:p>
    <w:p>
      <w:r>
        <w:t>En définitive, si l’autorité d’appel dispose dans une certaine mesure de la faculté de procéder aux mesures d’instruction nécessaires et, le cas échéant, d’adapter l’état de fait aux circonstances nouvelles, tel n’est toutefois pas le cas en l’espèce dans la mesure où l’état de fait retenu par le premier juge est à ce point lacunaire sur plusieurs points essentiels que tenter d’instruire et d’établir à ce stade les faits pertinents reviendrait à priver les parties de la garantie de la double instance, le Tribunal fédéral n’intervenant ensuite plus que sous l’angle de l’arbitraire. Il est dès lors inévitable d’annuler l’ordonnance et de renvoyer le dossier à l’autorité de première instance pour qu’elle instruise et statue sur les différents points relevés ci-dessous, notamment, qu’elle détermine la période déterminante pour définir le train de vie de l’épouse durant la vie commune et, partant, la date de la séparation des parties, la méthode applicable au calcul de la contribution d’entretien due en faveur de l’épouse (cf. consid. 3.4 supra ), le dernier train de vie de cette dernière durant la vie commune, le montant des charges qu’il convient de prendre en compte dans le calcul des budgets respectifs des parties (cf. consid. 5.3 supra ) et enfin le revenu déterminant pour le calcul de la capacité contributive de l’époux (cf. consid. 6.3 supra ).</w:t>
      </w:r>
    </w:p>
    <w:p>
      <w:r>
        <w:rPr>
          <w:b/>
        </w:rPr>
        <w:t>E. 8.1</w:t>
      </w:r>
    </w:p>
    <w:p>
      <w:r>
        <w:t>L’appelante requiert encore l’allocation d’une provisio ad litem pour la procédure d’appel.</w:t>
      </w:r>
    </w:p>
    <w:p>
      <w:r>
        <w:rPr>
          <w:b/>
        </w:rPr>
        <w:t>E. 8.2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5A_808/2016 du 21 mars 2017 consid. 4.1 ; TF 5A_808/2016 du 21 mars 2017 consid. 4.1). Le fondement de cette prestation – devoir d'assistance (art. 159 al. 3 CC) ou obligation d'entretien (art. 163 CC) – est controversé (TF 5A_62/2011 du 26 juillet 2011 consid. 2.2 ; TF 5P.346/2005 du 15 novembre 2005 consid. 4.3, publié in FamPra.ch 2006 p. 892 n. 130 et les références citées), mais cet aspect n'a pas d'incidence sur les conditions qui président à son octroi (ATF 138 III 672 consid. 4.2.1). En tout état de cause, selon l'art. 163 al. 1 CC, la loi n'institue plus un devoir général d'entretien à la charge du mari (art. 160 al. 2 aCC ; ATF 110 II 116 consid. 2a), mais une prise en charge conjointe des besoins de la famille au regard des facultés de chacun des époux (TF 5P_42/2006 du 10 juillet 2007 consid. 4). Il est par ailleurs incontesté que l'obligation du mari d'affecter une part de son revenu à l'entretien de sa femme est prioritaire par rapport tant à la provisio ad litem qu'à l'obligation de faire ses propres avances de frais de l'instance en divorce (TF 5A_778/2012 du 24 janvier 2013 consid. 6.1 ; TF 5P.31/2004 du 26 avril 2004 consid. 2.2 ; cf. ATF 103 la 99 consid. 4). La provisio ad litem a pour but de permettre à chaque conjoint de défendre correctement ses propres intérêts dans une procédure judiciaire, même de nature matrimoniale. Il s'agit d'une simple avance, qui doit en principe être restituée (ATF 66 Il 70 consid. 3 ; TF 5A_777/2014 du 4 mars 2015 consid. 6.2 et les références citées).</w:t>
      </w:r>
    </w:p>
    <w:p>
      <w:r>
        <w:rPr>
          <w:b/>
        </w:rPr>
        <w:t>E. 8.3</w:t>
      </w:r>
    </w:p>
    <w:p>
      <w:r>
        <w:t>Dans le cas présent, l’appelante ne rend pas vraisemblable que l’intimé disposerait des moyens nécessaires pour lui verser la provisio ad litem dont elle se prévaut. En particulier, on ignore ce qu’il reste actuellement de la fortune dont l’intimé aurait disposé en septembre 2019, compte tenu notamment des dépenses alléguées par ses soins et des frais d’avocat qu’il a lui-même encouru depuis lors dans les procédures l’opposant à l’appelante. En outre, le seul fait que le compte bancaire de la société fondée par l’intimé présentait un solde de CHF 170'989 en octobre 2019 ne suffit pas à démontrer que l’appelant en aurait la libre disposition. Le moyen doit être rejeté.</w:t>
      </w:r>
    </w:p>
    <w:p>
      <w:r>
        <w:rPr>
          <w:b/>
        </w:rPr>
        <w:t>E. 9.1</w:t>
      </w:r>
    </w:p>
    <w:p>
      <w:r>
        <w:t>Au vu de ce qui précède, l’appel doit être partiellement admis et l’ordonnance annulée, la cause étant renvoyée au premier juge pour qu’il procède dans le sens des considérants.</w:t>
      </w:r>
    </w:p>
    <w:p>
      <w:r>
        <w:rPr>
          <w:b/>
        </w:rPr>
        <w:t>E. 9.2</w:t>
      </w:r>
    </w:p>
    <w:p>
      <w:r>
        <w:t>La requête d’assistance judiciaire formée le 11 mars 2020 par l’appelante peut être admise, les conditions fixées par l’art. 117 CPC étant réalisées. Le bénéfice de l’assistance judiciaire sera ainsi octroyé à l’appelante, dès et y compris cette date, Me Matthieu Genillod étant désigné comme son conseil d’office.</w:t>
      </w:r>
    </w:p>
    <w:p>
      <w:r>
        <w:rPr>
          <w:b/>
        </w:rPr>
        <w:t>E. 9.3</w:t>
      </w:r>
    </w:p>
    <w:p>
      <w:r>
        <w:t>Selon l'art. 106 CPC, les frais sont mis à la charge de la partie succombante (al. 1) ; lorsqu'aucune des parties n'obtient entièrement gain de cause, ils sont répartis selon le sort de la cause (al. 2). La partie succombante est le demandeur en cas de désistement d'action (cf. art. 106 al. 1 et 241 CPC ; cf. TF 5A_985/2017 du 9 janvier 2018 consid. 3). En cas de renvoi de la cause, la juridiction supérieure peut déléguer la répartition des frais de la procédure de recours à la juridiction précédente (art. 104 al. 4 CPC). L'autorité d'appel dispose à cet égard d'une large marge d'appréciation. Si elle fixe elle-même la répartition des frais, elle ne verse pas dans l'arbitraire en tenant compte de ce que l'issue de la procédure au fond reste ouverte, mais la solution inverse de la répartition en fonction du résultat de la procédure de deuxième instance est aussi envisageable (Juge délégué CACI du 25 septembre 2018/552 consid. 4.2 ; Colombini, op. cit., nn. 3.1 et 3.2 ad art. 104 CPC, et les arrêts cités). En l’espèce, l’appelante a conclu principalement à la réforme de l’ordonnance entreprise et au versement d’une provisio ad litem de CHF 8'000 pour la présente procédure d’appel. Subsidiairement, elle a conclu à l’annulation de l’ordonnance et au renvoi de la cause au premier juge  pour nouvelle décision dans le sens des considérants. Vu le sort de la cause, les frais judiciaires de deuxième instance, arrêtés à CHF 600 (art. 63 al. 1 et 65 al. 2 TFJC [tarif des frais judiciaires civils du 28 septembre 2010 ; BLV 270.11.5]), doivent être provisoirement laissés à la charge de l’Etat par CHF 300 pour l’appelante et mis à la charge de l’intimé par CHF 300.</w:t>
      </w:r>
    </w:p>
    <w:p>
      <w:r>
        <w:rPr>
          <w:b/>
        </w:rPr>
        <w:t>E. 9.4</w:t>
      </w:r>
    </w:p>
    <w:p>
      <w:r>
        <w:t>S’agissant du montant de l’indemnité due au conseil d’office de l’appelante, Me Genillod a déposé, le 16 décembre 2020, une liste de ses opérations faisant état d’un temps consacré au dossier de 28 heures et 18 minutes, ainsi que de débours forfaitaires d’un montant correspondant à 2 % de ses honoraires. Le nombre d’heures indiqué ne prête pas le flanc à la critique. Au tarif horaire de CHF 180 pour (art. 2 al. 1 let. a RAJ [Règlement sur l'assistance judiciaire en matière civile, BLV 211.02.3]), l’indemnité d’office de Me Genillod peut ainsi être arrêtée à CHF 5'094 pour les honoraires (28.3 x 180), débours par CHF 101.90 (2 % x 5’094 ; art. 3 bis al. 1 RAJ) et TVA sur le tout par CHF 400.10 non compris, soit à un montant total de CHF 5’596. La bénéficiaire de l’assistance judiciaire est, dans la mesure de l’art. 123 CPC, tenue au remboursement des frais de justice et de l’indemnité au conseil d’office provisoirement laissés à la charge de l’Etat.</w:t>
      </w:r>
    </w:p>
    <w:p>
      <w:r>
        <w:rPr>
          <w:b/>
        </w:rPr>
        <w:t>E. 9.5</w:t>
      </w:r>
    </w:p>
    <w:p>
      <w:r>
        <w:t>Vu l’issue du litige, les dépens doivent être compensés. Par ces motifs, le juge délégué de la Cour d’appel civile prononce : I. L’appel est partiellement admis. II. L’ordonnance est annulée et la cause est renvoyée au Président du Tribunal civil de l’arrondissement de Lausanne pour nouvelle instruction et nouvelle décision dans le sens des considérants. III. La requête d’assistance judiciaire de l’appelante A.V.________ est admise avec effet au 11 mars 2020, Me Matthieu Genillod étant désigné en qualité de conseil d’office de l’intéressée. IV. Les frais judiciaires de deuxième instance, arrêtés à CHF 600 (six cents francs), sont provisoirement laissés à la charge de l’Etat par CHF 300 (trois cents francs) pour l’appelante A.V.________ et sont mis à la charge de l’intimé B.V.________ par CHF 300 (trois cents francs). V. L’indemnité d’office de Me Matthieu Genillod, conseil de l’appelante A.V.________, est arrêtée à CHF 5’596 (cinq mille cinq cent nonante-six francs), débours et TVA compris. VI. La bénéficiaire de l’assistance judiciaire est, dans la mesure de l’art. 123 CPC, tenue au remboursement des frais judiciaires et de l’indemnité au conseil d’office mis à la charge de l’Etat. VII. L’arrêt est exécutoire. Le juge délégué : La greffière : Du Le présent arrêt, dont la rédaction a été approuvée à huis clos, est notifié en expédition complète à : ‑ Me Matthieu Genillod (pour A.V.________), ‑ Me Alain Thévenaz (pour B.V.________),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CHF 15'000 en matière de droit du travail et de droit du bail à loyer, à CHF 30'000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