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820 vom 15. Dezember 2020</w:t>
      </w:r>
    </w:p>
    <w:p>
      <w:r>
        <w:t>VD Tribunal cantonal, 2020-12-15, FR</w:t>
      </w:r>
    </w:p>
    <w:p>
      <w:r>
        <w:rPr>
          <w:b/>
        </w:rPr>
        <w:t xml:space="preserve">Quelle: </w:t>
      </w:r>
      <w:r>
        <w:t>https://mcp.opencaselaw.ch/entscheid/vd_findinfo_HC___2020___820</w:t>
      </w:r>
    </w:p>
    <w:p>
      <w:r>
        <w:t>FR: VD_FINDINFO HC / 2020 / 820 du 15 décembre 2020</w:t>
      </w:r>
    </w:p>
    <w:p>
      <w:r>
        <w:t>IT: VD_FINDINFO HC / 2020 / 820 del 15 dicembre 2020</w:t>
      </w:r>
    </w:p>
    <w:p>
      <w:pPr>
        <w:pStyle w:val="Heading2"/>
      </w:pPr>
      <w:r>
        <w:t>Regeste</w:t>
      </w:r>
    </w:p>
    <w:p>
      <w:r>
        <w:t>DIVORCE, OBLIGATION D'ENTRETIEN, AUTONOMIE, MARIAGE AYANT UN IMPACT DÉCISIF SUR LA VIE, MAROC, LIQUIDATION DU RÉGIME MATRIMONIAL, PRÊT À USAGE, ACQUÊT, FRAIS DE LA PROCÉDURE, PRINCIPE D'ALLÉGATION | 125 al. 1 CC, 164 CC, 200 al. 3 CC, 106 al. 2 CPC (CH), 221 al. 1 let. d CPC (CH), 221 al. 1 let. e CPC (CH)</w:t>
      </w:r>
    </w:p>
    <w:p>
      <w:pPr>
        <w:pStyle w:val="Heading2"/>
      </w:pPr>
      <w:r>
        <w:t>Erwägungen</w:t>
      </w:r>
    </w:p>
    <w:p>
      <w:r>
        <w:rPr>
          <w:b/>
        </w:rPr>
        <w:t>E. 1.1</w:t>
      </w:r>
    </w:p>
    <w:p>
      <w:r>
        <w:t>L'appel est recevable contre les décisions finales de première instance dans les affaires patrimoniales dont la valeur litigieuse au dernier état des conclusions s'élève à 10'000 fr. au moins (art. 308 al. 1 let. a et al.</w:t>
      </w:r>
    </w:p>
    <w:p>
      <w:r>
        <w:rPr>
          <w:b/>
        </w:rPr>
        <w:t>E. 1.2</w:t>
      </w:r>
    </w:p>
    <w:p>
      <w:r>
        <w:t>En l'espèce, formé en temps utile contre une décision finale, par une partie qui a un intérêt digne de protection (art. 59 al.</w:t>
      </w:r>
    </w:p>
    <w:p>
      <w:r>
        <w:rPr>
          <w:b/>
        </w:rPr>
        <w:t>E. 2</w:t>
      </w:r>
    </w:p>
    <w:p>
      <w:r>
        <w:t>let. a CPC), dans une cause patrimoniale dont la valeur litigieuse est supérieure à 10'000 fr., l’appel est recevable.</w:t>
      </w:r>
    </w:p>
    <w:p>
      <w:r>
        <w:rPr>
          <w:b/>
        </w:rPr>
        <w:t>E. 2.1</w:t>
      </w:r>
    </w:p>
    <w:p>
      <w:r>
        <w:t>L'appel peut être formé pour violation du droit ou pour constatation inexacte des faits (art. 310 CPC). Il offre à l'autorité de deuxième instance un plein pouvoir d'examen (Jeandin, Commentaire romand, Code de procédure civile, 2 e éd. 2019, [cité ci-après : CR CPC],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2.2</w:t>
      </w:r>
    </w:p>
    <w:p>
      <w:r>
        <w:t>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Par ailleurs, dans ce cas, la maxime des débats, assortie du devoir d’interpellation du juge (art. 277 al. 2 CPC) (Hohl, Procédure civile, tome II, 2 e éd. 2010, n. 1161 ; Tappy, CR CPC, op. cit., n. 6 s. ad art. 277 CPC), est applicable (art. 277 al. 1 CPC ; Tappy, CR CPC,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CR CPC, op. cit., n. 3 ad art. 55 CPC).</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(Mathys, in Baker &amp; McKenzie [édit.], Handkommentar ZPO, 2010, n. 5 ad art. 317 CPC).</w:t>
      </w:r>
    </w:p>
    <w:p>
      <w:r>
        <w:rPr>
          <w:b/>
        </w:rPr>
        <w:t>E. 2.3.2</w:t>
      </w:r>
    </w:p>
    <w:p>
      <w:r>
        <w:t>En l’espèce, outre les pièces de forme ou de la procédure (pièces 101 à 103), l’intimé a produit trois pièces à l’appui de son écriture, à savoir une lettre du 8 février 2018 de la Caisse cantonale de chômage (pièce 104), un décompte du 8 février 2018 de la Caisse cantonale du chômage (pièce 105) et une lettre du 16 décembre 2016 de la Caisse cantonale vaudoise de compensation AVS (pièce 106). Dans la mesure où, comme l’a précisé l’intimé dans son écriture, elles ont déjà été produites en première instance, ces pièces sont recevables.</w:t>
      </w:r>
    </w:p>
    <w:p>
      <w:r>
        <w:rPr>
          <w:b/>
        </w:rPr>
        <w:t>E. 3.1</w:t>
      </w:r>
    </w:p>
    <w:p>
      <w:r>
        <w:t>L’appelante requiert que l’état de fait soit complété sur plusieurs points. Elle reproche aux premiers juges de n’avoir pas pris en compte le fait qu’avant son mariage, en l’an 2000, elle vivait au Maroc et qu’elle ne disposait d’aucun diplôme ni CFC, ces faits ayant été admis par l’intimé. L’appelante soutient qu’en retenant qu’elle avait obtenu un revenu mensuel net de 2'580 fr. entre janvier 2007 et mai 2012, les premiers juges n’auraient pas tenu compte qu’elle avait été au chômage durant de longues périodes avant de retrouver des activités dont le revenu était pratiquement identique. Elle reproche également aux premiers juges de n’avoir pas jugé utile de calculer le revenu mensuel moyen de l’intimé, alors qu’il résultait de la déclaration d’impôts 2012 que celui-ci réalisait un revenu mensuel de plus de 9'000 fr. qui avait augmenté jusqu’à la retraite de l’intéressé.</w:t>
      </w:r>
    </w:p>
    <w:p>
      <w:r>
        <w:rPr>
          <w:b/>
        </w:rPr>
        <w:t>E. 3.2</w:t>
      </w:r>
    </w:p>
    <w:p>
      <w:r>
        <w:t>La demande contient notamment les allégations de fait (art. 221 al. 1 let. d CPC) ainsi que l’indication, pour chaque allégation, des moyens de preuve proposés (art. 221 al. 1 let. e CPC). Les allégués de fait doivent être précisés dans l'écriture elle-même, le simple renvoi à des pièces étant insuffisant (TF 4A_317/2014 du 17 octobre 2014 consid. 2.2, RSPC 2015 p. 6 ; TF 4A_281/2017 du 22 janvier 2018 consid. 5, RSPC 2018 p. 173). Il n’incombe pas au tribunal et à la partie adverse de rechercher l’état de fait déterminant  dans les pièces, ni d’examiner ces pièces afin de voir s’il peut en être tiré quelque chose en faveur de la partie à qui incombe le fardeau de l’allégation. Il ne suffit ainsi pas que, dans les annexes, des informations se trouvent sous une forme quelconque (TF 4A_281/2017 du 22 janvier 2018 consid. 5, RSPC 2018 p. 173). Les faits expressément admis par la partie adverse n'ont pas à être prouvés, sous réserve de la faculté laissée au juge par l'art. 153 al. 2 CPC de faire administrer d'office la preuve d'un fait non contesté lorsqu'il existe des motifs sérieux de douter de sa véracité (TF 4A_111/2019 du 23 juillet 2019 consid. 4.2.2 ; Colombini, Code de procédure civile, Condensé de la jurisprudence fédérale et vaudoise, 2018, n. 1.4.1.2 ad art. 55 CPC).</w:t>
      </w:r>
    </w:p>
    <w:p>
      <w:r>
        <w:rPr>
          <w:b/>
        </w:rPr>
        <w:t>E. 3.3</w:t>
      </w:r>
    </w:p>
    <w:p>
      <w:r>
        <w:t>En l’espèce, le jugement querellé mentionne aux deux premiers paragraphes du chiffre</w:t>
      </w:r>
    </w:p>
    <w:p>
      <w:r>
        <w:rPr>
          <w:b/>
        </w:rPr>
        <w:t>E. 4</w:t>
      </w:r>
    </w:p>
    <w:p>
      <w:r>
        <w:t>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Code civil I, 2010 [cité ci-après : CR CC I], n. 14 ad art. 125 CC). L'impact du mariage sur la vie des époux est toutefois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Le mariage est présumé avoir eu une influence concrète, peu importe sa durée, en cas de déracinement culturel ou linguistique de l'un des époux. C'est notamment le cas lorsque le créancier de l'entretien a quitté son environnement culturel en vue du mariage ou ensuite du mariage pour rejoindre son conjoint et qu'il dépende de celui-ci dans son nouvel environnement (Simeoni, Commentaire pratique, Droit matrimonial, Bâle 2016, n. 21 ad art. 125 CC et les références citées). On ne saurait en revanche retenir que le mariage a eu une influence concrète sur la vie d'un conjoint lorsque celui-ci peut retourner librement dans son pays d'origine et facilement s'y réintégrer et retrouver un emploi après la séparation (TF 5A_844/2014 du 23 avril 2015 consid. 5 ; Simeoni, op. cit., n. 21 ad art. 125 CC). Au reste, le principe de l'autonomie prime le droit à l'entretien. Ainsi, un époux ne peut prétendre à une pension que s'il n'est pas en mesure de pourvoir lui-même à son entretien convenable et si son conjoint dispose d'une capacité contributive (ATF 137 III 102 consid. 4.1.2 ; ATF 134 III 145 consid. 4).</w:t>
      </w:r>
    </w:p>
    <w:p>
      <w:r>
        <w:rPr>
          <w:b/>
        </w:rPr>
        <w:t>E. 4.1</w:t>
      </w:r>
    </w:p>
    <w:p>
      <w:r>
        <w:t>L'appelante dénonce une violation de l'art. 125 CC par les premiers juges pour avoir estimé que l'union conjugale n'avait eu aucun impact décisif sur son autonomie économique. Les magistrats auraient dû retenir l’influence concrète du mariage sur sa vie, en ce sens qu'il avait duré plus de dix ans, qu'il avait été précédé d'un déracinement culturel, qu'elle ne disposait d'aucun diplôme, que durant le mariage, son revenu était 3.5 fois inférieur à celui de l'intimé, que le train de vie des époux avait conduit à l'utilisation de l'ensemble des revenus mensuels et que l'activité de l'appelante n'avait jamais été supérieure à 50-80 %, le solde du temps étant destiné à s'occuper du ménage. L'appelante ajoute que, depuis la séparation des parties, son revenu de 2'500 fr. aurait toujours été complété par une contribution d'entretien du même montant et ce depuis le mois de novembre 2013. Pour l'appelante, le mariage aurait eu un impact décisif sur sa vie, notamment sur son autonomie financière. Il se justifierait dès lors de lui allouer une contribution d’entretien.</w:t>
      </w:r>
    </w:p>
    <w:p>
      <w:r>
        <w:rPr>
          <w:b/>
        </w:rPr>
        <w:t>E. 4.2</w:t>
      </w:r>
    </w:p>
    <w:p>
      <w:r>
        <w:t>Aux termes de l'art. 125 al. 1 CC, si l'on ne peut raisonnablement pas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w:t>
      </w:r>
    </w:p>
    <w:p>
      <w:r>
        <w:rPr>
          <w:b/>
        </w:rPr>
        <w:t>E. 4.2.2</w:t>
      </w:r>
    </w:p>
    <w:p>
      <w:r>
        <w:t>; ATF 130 III 321 consid. 3.4).</w:t>
      </w:r>
    </w:p>
    <w:p>
      <w:r>
        <w:rPr>
          <w:b/>
        </w:rPr>
        <w:t>E. 4.3</w:t>
      </w:r>
    </w:p>
    <w:p>
      <w:r>
        <w:t>En l’espèce, l’appelante a travaillé à temps partiel durant le mariage, à un taux variant entre 50 et 80 %. Elle invoque le déracinement culturel du fait qu’elle vivait au Maroc jusqu’à son arrivée en Suisse en 2000. Elle n’a toutefois pas établi un tel déracinement ; en particulier, il ne résulte pas de l’état de fait qu’elle aurait obtenu une autorisation de séjour uniquement en vue du mariage. Sa capacité à entrer dans la vie active très rapidement après son arrivée en Suisse – alors qu’elle ne disposait pas de formation professionnelle spécifique – plaide au contraire en défaveur du déracinement invoqué. Durant toute la vie commune, l'appelante a été active sur le plan professionnel et n'a donc pas à se réinsérer professionnellement. Il n’est en définitive pas établi que l’appelante dépendrait de l’intimé dans le cadre de l’environnement qui est désormais le sien. L’appelante soutient que son activité à temps partiel aurait été justifiée par le fait qu’elle se serait chargée de l’entier du ménage des parties, étant précisé qu'aucun enfant n'est issu de cette union. Elle ne parvient toutefois pas à établir cette allégation et on ignore s’il s’agit d’une décision commune du couple. A supposer même ce fait établi, le mariage n'aurait exercé de ce seul fait qu'un impact limité sur la situation de l'appelante, en ce sens que, depuis la séparation qui remonte à 2013, elle avait tout loisir d'augmenter son taux d'activité – ce qu'elle n'a pas fait –, alors même qu'elle a été rendue attentive à la problématique ; l’ordonnance de mesures provisionnelles du 12 février 2016 rappelle en particulier à l’appelante que le principe de solidarité n’était pas sans limite et qu’elle devait être consciente qu’à moyenne échéance, il pourrait être exigé d’elle qu’elle travaille à plein temps. Elle n’a pas non plus démontré qu’il lui aurait été impossible d’augmenter son taux d’activité en Suisse, ce qu’elle devait s'attendre à faire au regard de la séparation intervenue entre les parties en 2013 déjà, soit il y a maintenant sept ans. Elle aurait pu s'organiser depuis lors pour augmenter son taux d'activité. Il n'est d'ailleurs pas exclu qu'elle puisse retourner dans son pays d’origine et y trouver un emploi, le contraire n'étant pas allégué et encore moins établi. Il ressort enfin du dossier et même des arguments plaidés par l'appelante que celle-ci bénéficie d'une certaine autonomie financière puisqu'elle ne nie pas l'obtention d'un revenu de 2'500 fr. pour une activité oscillant entre 50 et 80 %, ce qui laisse la possibilité d'une augmentation du taux d'activité et donc du revenu réalisé. La durée du mariage ne saurait à elle seule donner un droit acquis à une contribution d'entretien, le principe d'autonomie devant primer sur le droit à l'entretien, compte tenu des circonstances développées ci-dessus. On souligne à cet égard que l’appelante est âgée de 46 ans à ce jour et de 39 ans au jour de la séparation des parties, ce qui lui permettra d’augmenter son taux d’activité, le marché du travail sur lequel elle est déjà insérée ne lui étant pas fermé du fait de l’âge. En définitive, on est en droit d'attendre de l'appelante qu'elle travaille désormais à temps complet et qu’elle subvienne à son propre entretien. C’est donc à juste titre que les premiers juges ont considéré que le mariage n’avait pas eu un impact décisif sur l’autonomie financière de l’appelante, qu’ils ont privilégié le principe de l’indépendance des époux après le divorce et qu’ils n’ont pas arrêté de contribution d’entretien pour la période suivant le divorce des parties.</w:t>
      </w:r>
    </w:p>
    <w:p>
      <w:r>
        <w:rPr>
          <w:b/>
        </w:rPr>
        <w:t>E. 5.1.1</w:t>
      </w:r>
    </w:p>
    <w:p>
      <w:r>
        <w:t>L’appelante soutient que les premiers juges auraient fait une mauvaise application de l’art. 164 CC. Elle fait valoir que le montant de 72'000 fr. que l’intimé lui a versé au cours de la vie commune devrait être considéré comme un « montant équitable » au sens de cette disposition. Selon elle, le fait qu’elle ait exercé une activité professionnelle durant le mariage ne devrait pas faire obstacle à l’application de cette disposition. Cela se justifierait d’autant plus que son revenu était bien inférieur à celui de l’intimé qui travaillait à plein temps et se déplaçait quotidiennement à Berne. L’appelante en conclut en substance que ce montant de 72'000 fr. ne devrait pas être considéré comme un prêt qui devrait figurer dans la liquidation du régime matrimonial.</w:t>
      </w:r>
    </w:p>
    <w:p>
      <w:r>
        <w:rPr>
          <w:b/>
        </w:rPr>
        <w:t>E. 5.1.2</w:t>
      </w:r>
    </w:p>
    <w:p>
      <w:r>
        <w:t>S’agissant de la liquidation du régime matrimonial à proprement parler, l’appelante fait également grief aux premiers juges d’avoir considéré qu’une partie du montant déjà évoqué de 72'000 fr. proviendrait des biens propres de l’intimé à hauteur de 46'000 francs. Elle soutient que celui-ci n’aurait pas établi cette provenance. En particulier, si elle admet que ce montant provient d’un compte épargne de l’intimé, celui-ci n’aurait pas établi que ce compte serait un bien propre, la simple diminution de ses économies durant le mariage ne suffisant pas à l’établir. L’appelante se prévaut de la pièce 40 – à savoir un relevé du compte épargne de l’intimé du 1 er janvier au 31 décembre 2001 – et souligne qu’un versement mensuel de 500 fr., provenant d’un autre compte de l’intimé y figurerait. L’appelante en conclut qu’il s’agit donc de versements provenant du salaire de l’intimé, soit d’acquêts, et que ces versements auraient continué durant la vie commune. Pour tous ces motifs, ce montant de 46'000 fr. serait un acquêt. L’appelante reproche également aux premiers juges d’avoir considéré – en se fondant sur l’avis erroné de l’expert – que le compte BCV n° [...] de l’intimé, d’un montant de 53'701 fr., serait un bien propre. Il s’agirait en réalité d’un acquêt, l’intimé y versant d’importants montants provenant de son salaire et l’appelante y procédant à des remboursements au moyen de son salaire. Pour tous ces motifs, la créance en participation au bénéfice de l’union conjugale de l’appelante s’élèverait à 94'078 fr. 50. En tenant compte de l’indemnité de 72'000 fr., l’intimé devrait lui verser 14'078 fr. 50 au titre de la liquidation du régime matrimonial.</w:t>
      </w:r>
    </w:p>
    <w:p>
      <w:r>
        <w:rPr>
          <w:b/>
        </w:rPr>
        <w:t>E. 5.2.1</w:t>
      </w:r>
    </w:p>
    <w:p>
      <w:r>
        <w:t>Aux termes de l'art. 164 al. 1 CC, l'époux qui voue ses soins au ménage ou aux enfants ou qui aide l'autre dans sa profession ou son entreprise a le droit de recevoir régulièrement de son conjoint un montant équitable dont il puisse disposer librement. Selon l'alinéa 2 de cette disposition, dans la détermination de ce montant, il faut considérer les revenus propres à l'époux créancier ainsi que le devoir du débiteur d'assurer l'avenir de la famille et de pourvoir aux besoins de sa profession ou de son entreprise. La ratio legis de cette disposition repose sur le postulat de l'égalité entre époux comme principe fondamental du nouveau droit du mariage. Elle a ainsi pour but d'établir une égalité entre l'époux au foyer, qui, dans la mesure où il n'a pas de revenus propres, dépend entièrement de son conjoint économiquement, et l'autre époux, qui, en revanche, dispose pratiquement d'une grande liberté dans l'affectation de ses gains, notamment pour la satisfaction de ses besoins personnels. L'indemnité équitable de l'art. 164 CC ne constitue donc pas un salaire, qui serait une simple rémunération pour des prestations ménagères. En effet, la contrepartie de ces prestations réside avant tout dans l'entretien dû par l'autre époux. Il s'agit en réalité d'une autre manière de s'acquitter de son devoir de contribuer aux charges du ménage. L'indemnité de l'art. 164 CC doit permettre d'assurer à l'époux au foyer la liberté de disposer lui-même de certaines sommes pour faire face à des dépenses de son choix (cf. Pichonnaz, CR CC I, op. cit., nn. 2 ss ad art. 164 CC ; ATF 114 II 301 consid. 4a et les références citées). Le droit à une indemnité équitable au sens de l'art. 164 CC est subordonné à la réalisation de diverses conditions. S'agissant de l'époux au foyer, il faut que les tâches prévues par l'art. 164 al. 1 CC constituent son activité essentielle ; en outre, s'il dispose de revenus propres – que ce soit par son travail d'appoint hors du ménage ou les revenus de sa fortune –, il faut que ceux-ci soient insuffisants à lui assurer une indépendance financière équivalente à celle de son conjoint. En ce qui concerne l'autre époux, il faut que son revenu ne soit pas entièrement absorbé par l'entretien de la famille (dépenses indispensables pour le gîte et le couvert, le vêtement, la santé, les loisirs communs, les impôts, les devoirs de prévoyance, etc.). Lorsque le revenu de la famille est juste suffisant pour couvrir les besoins communs et les besoins personnels élémentaires des époux, il n'y a plus de place pour une prétention fondée sur l'art. 164 CC. En revanche, lorsque, ces besoins couverts, il reste un montant à disposition, chacun des époux aura droit à un montant équitable équivalent à celui de son conjoint (ATF 114 II 301 consid. 4a ; Pichonnaz, CR CC I, op. cit., nn. 11 ss ad art. 164 CC ; Deschenaux/Steinauer/ Baddeley, Les effets du mariage, Berne 2017, 3 e éd., n. 462). Le montant dû doit être versé régulièrement. Il doit ainsi être versé en espèces et avec une certaine régularité selon les besoins à satisfaire (Pichonnaz, CR CC I, op. cit., n. 34 ad art. 164 CC ; Deschenaux/Steinauer/Baddeley, op. cit., n. 470).</w:t>
      </w:r>
    </w:p>
    <w:p>
      <w:r>
        <w:rPr>
          <w:b/>
        </w:rPr>
        <w:t>E. 5.2.2</w:t>
      </w:r>
    </w:p>
    <w:p>
      <w:r>
        <w:t>Sont des biens propres de par la loi, selon l'art. 198 CC,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 Selon l'art. 200 al. 3 CC, tout bien d'un époux est présumé acquêt, sauf preuve du contraire. En vertu de cette disposition – qui modifie le fardeau de la preuve découlant de la règle générale de l'art. 8 CC, lequel n'est dès lors pas applicable à cet égard (notamment : TF 5C.118/2004 du 3 août 2004 consid. 3.1 ; TF 5C.229/2002 du 7 février 2003 consid. 2.1) –,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5C.118/2004 précité consid. 3.1 ; TF 5C.229/2002 précité consid. 2.1). En outre, la présomption que le bien est présumé acquêt est réfragable (cf. art. 200 al. 3 in fine CC). En conséquence, la partie adverse peut apporter la contre-preuve du fait présumé ; la contre-preuve n'a pas à convaincre le juge, mais doit affaiblir la preuve principale en semant le doute dans l'esprit de celui-ci (TF 5A_892/2014 du 18 mai 2015 consid. 2.4 ; ATF 133 III 81 consid.</w:t>
      </w:r>
    </w:p>
    <w:p>
      <w:r>
        <w:rPr>
          <w:b/>
        </w:rPr>
        <w:t>E. 5.2.3</w:t>
      </w:r>
    </w:p>
    <w:p>
      <w:r>
        <w:t>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sous peine de verser dans l'arbitraire (TF 5A_802/2014 du 7 novembre 2014 consid. 4.1 ; TF 5A_146/2011 du 7 juin 2011 consid. 4.2.1 ; TF 4D_8/2008 du 31 mars 2008 consid. 3.2.1 ; ATF 133 II 384 consid. 4.2.3 ; ATF 130 I 337).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 ; ATF 133 II 384 consid. 4.2.3).</w:t>
      </w:r>
    </w:p>
    <w:p>
      <w:r>
        <w:rPr>
          <w:b/>
        </w:rPr>
        <w:t>E. 5.3.1</w:t>
      </w:r>
    </w:p>
    <w:p>
      <w:r>
        <w:t>En l’espèce, comme on l’a déjà vu (cf. consid. 4.3 ci-dessus), l’appelante a allégué s'être chargée de tout ce qui concernait le ménage ; or ce fait a été contesté par l’intimé sans que l’appelante ne parvienne à l’établir. Ce seul fait suffit déjà à nier l’existence d’un montant équitable au sens de l’art. 164 CC. En outre, il ressort de l’expertise qu’entre le 30 mars 2007 et le 29 août 2011 (30 mars 2007, 27 septembre 2010, 13 et 29 juillet 2011, 26 et 29 août 2011), l’intimé a fait six versements en faveur de l’appelante de montants oscillant entre 1'000 fr. et 8'000 fr. ; l’expert a en outre relevé qu’entre le 29 juillet 2011 et le 31 août 2012, l’intimé s’était acquitté de manière « relativement » régulière du versement de sommes oscillant entre 1'000 fr. et 2'000 francs. Sur cette base, on ne saurait admettre que le montant prétendument équitable a été versé régulièrement. La satisfaction de besoins personnels de l’appelante au sens du but de la norme précitée n'est pas non plus établie, dès lors qu'il a été retenu qu'une grande partie des 72'000 fr. a été reversée à la sœur de l’intéressée – ce qui ne saurait être assimilé à de modestes cadeaux faits à des proches (dans ce sens, voir Pichonnaz, CR CC I, op. cit., n. 3 ad art. 164 CC). Enfin, le principe de prêts octroyés par l’intimé à l’appelante et le remboursement par celle-ci a été admis par l'expert, sans que l'appelante ne démontre l'absence de force probante de l'expertise à cet égard, ce qui vient conforter l'idée que les montants octroyés à l’appelante à hauteur de 72'000 fr. participaient aussi de ce processus de prêts pratiqués à plusieurs reprises par les époux. On rappelle à cet égard que l’intimé avait versé un montant de 65'000 fr. à titre de prêt à son épouse le 5 décembre 2003, montant que celle-ci a remboursé à concurrence de 52'000, et qu’il lui avait également prêté des montants en vue de l’achat d’un véhicule. L'appelante reconnaît d'ailleurs elle-même à l'appui de son grief avoir régulièrement remboursé des prêts octroyés par l'intimé, à raison de 1'000 fr. par mois durant quatre ans. Pour ces motifs, c’est à juste titre que les premiers juges ont considéré que le montant de 72'000 fr. – dont la quotité n’a pas été contestée – versé par l’intimé à l’appelante était un prêt qu’il convenait dès lors de prendre en considération dans le cadre de la liquidation du régime matrimonial.</w:t>
      </w:r>
    </w:p>
    <w:p>
      <w:r>
        <w:rPr>
          <w:b/>
        </w:rPr>
        <w:t>E. 5.3.2</w:t>
      </w:r>
    </w:p>
    <w:p>
      <w:r>
        <w:t>S’agissant du montant de 72'000 fr. dont il est question au considérant qui précède, les premiers juges ont considéré qu’une part de 26'000 fr. représentait des acquêts – ce que l’appelante ne conteste pas –, et que le solde de 46'000 fr. représentait des biens propres, au motif que ce montant avait été versé depuis un compte épargne de l’intimé. L’appelante, qui conteste la qualification de ce solde, se prévaut de transferts opérés régulièrement durant une année par l’intimé de son compte courant vers son compte épargne. De tels versements ne reposent toutefois sur aucun allégué de fait de première instance, ces transferts n'ayant nullement été allégués. Ils s'inscrivent du reste en contradiction avec les propres développements de l'appelante, qui affirme, à l’appui du grief concernant l’influence concrète du mariage sur sa situation économique, que l'entier des revenus du couple aurait été utilisé pour le train de vie des époux, ou encore que le train de vie des époux aurait conduit à l'utilisation de l'ensemble des revenus mensuels. On voit dès lors mal comment des transferts d'argent, issu du salaire – et donc d'acquêts de l'intimé – auraient pu être opérés sur le compte épargne de celui-ci. Avec les premiers juges, il y a lieu de considérer que le montant issu du compte épargne, à savoir 46'000 fr. sur les 72'000 fr. de prêt, représentent des propres, dès lors que ce compte épargne était constitué avant le mariage et qu'il a subi une diminution substantielle durant l’union – passant de 245'108 fr. avant le mariage à 137'774 fr. au jour de la dissolution du régime –, sans que d'éventuels transferts provenant du compte courant de l'intimé opérés durant le mariage n'aient été ni allégués et encore moins établis. On notera en particulier que la pièce 40, évoquée dans l'appel, n'est offerte à l'appui d'aucun allégué de fait de l'appelante, de sorte qu’on ne saurait en tenir compte. Contrairement à ce que soutient l’appelante, l’intimé a dès lors satisfait à la preuve requise pour retenir qu’une partie du prêt a pu avoir lieu grâce à ses fonds propres, qui ont servi à l'opération de prêt dans la proportion retenue par les premiers juges, soit par 46'000 francs. Pour le surplus, aucune explication ne figure dans le jugement querellé s'agissant du compte BCV n° [...] d'un montant de 53'701 fr. ; on relève qu'il ne figure pas dans la liste des acquêts, ce qui signifie qu'il a été considéré comme un bien propre ; l’appelante conteste cette qualification. Sur cette question, le rapport d’expertise est clair et a été implicitement suivi par les premiers juges. Ce compte a été ouvert par l’intimé pour réceptionner le remboursement par l’appelante des prêts qu’il lui avait octroyés sur la base de ses biens propres. L’appelante conteste certes ces constatations de l’expert ; elle n’étaye cependant pas sa thèse et ne dit en particulier pas en quoi l'expertise, sur laquelle les premiers juges se sont fondés, serait erronée et dénuée de force probante. Quant aux versements opérés par l’intimé de son compte courant vers son compte épargne et qui fondent une nouvelle fois l'argumentation de l'appelante, ils ont été réfutés ci-dessus, sans qu’il y ait lieu d'y revenir. Il s'agit donc bien d'un propre et c’est à juste titre que ce poste ne figure pas dans la liquidation du régime matrimonial.</w:t>
      </w:r>
    </w:p>
    <w:p>
      <w:r>
        <w:rPr>
          <w:b/>
        </w:rPr>
        <w:t>E. 6.1</w:t>
      </w:r>
    </w:p>
    <w:p>
      <w:r>
        <w:t>Dans un dernier moyen, l’appelante conteste le montant des dépens mis à sa charge, par 15'000 francs. Elle reproche aux premiers juges d’avoir mal réparti les frais et dépens, en mettant à sa charge trois quarts des frais ainsi que des dépens réduits de moitié. Ils n’auraient en effet pas pris en compte que la créance en remboursement accordé à l’intimé représenterait moins de la moitié de ce qu’il avait réclamé au titre de la liquidation du régime matrimonial. Elle soutient en outre que l’admission de l’appel devrait lui permettre d’obtenir des dépens de première instance.</w:t>
      </w:r>
    </w:p>
    <w:p>
      <w:r>
        <w:rPr>
          <w:b/>
        </w:rPr>
        <w:t>E. 6.2</w:t>
      </w:r>
    </w:p>
    <w:p>
      <w:r>
        <w:t>A teneur de l’art. 106 al. 1 CPC, les frais – qui comprennent selon l’art. 95 al. 1 CPC les frais judiciaires (art. 95 al. 2 CPC) et les dépens (art. 95 al. 3 CPC) – sont mis à la charge de la partie succombante. Dans l’hypothèse où chacune des parties succombe partiellement, chacun doit supporter les frais de partie – c'est-à-dire les dépens au sens de l’art. 95 al. 3 CPC – dans la mesure où il succombe. Pour dire dans quelle mesure chaque partie succombe, il faut faire un calcul sur la base des conclusions principales prises en appel et en tenant compte du fait que certains griefs ont exigé plus de travail que d’autres. Après avoir déterminé librement dans quelle mesure chaque partie succombe, l’autorité doit fixer, après compensation, l’indemnité que l’une des parties doit verser à l’autre. L’important à ce stade est de ne pas perdre de vue que chaque partie a assumé des frais (sur le tout : Corboz, Commentaire de la LTF, n. 42 ad art. 68 LTF). Lorsqu’une partie obtient gain de cause sur environ trois quarts et succombe pour environ un quart, il est admis que cette partie a droit au remboursement de trois quarts de son éventuelle avance de frais – ou doit en verser les trois quarts à la partie adverse – et à des dépens qui correspondent alors, après compensation, à la moitié (3/4 - 1/4) du défraiement de son conseil (cf. not. CACI 15 septembre 2020/399 consid. 9.2.2 ; CACI 2 juillet 2019/370 consid. 2.2.2 ; CACI 28 septembre 2017/442 consid. 4).</w:t>
      </w:r>
    </w:p>
    <w:p>
      <w:r>
        <w:rPr>
          <w:b/>
        </w:rPr>
        <w:t>E. 6.3</w:t>
      </w:r>
    </w:p>
    <w:p>
      <w:r>
        <w:t>En l’espèce, les premiers juges ont considéré que l’appelante n’avait obtenu gain de cause que sur le principe du partage par moitié des avoirs de prévoyance professionnelle et partiellement sur le montant requis par le demandeur à titre de liquidation du régime matrimonial et qu’elle avait succombé pour le surplus. On relève à cet égard que l’appelante a entièrement succombé sur la question d’une contribution à son propre entretien. L’appréciation des premiers juges est exempte de toute critique, dès lors qu’elle prend justement en compte le fait que l’appelante a eu partiellement gain de cause sur le montant requis par le demandeur dans la liquidation du régime matrimonial. C’est donc à juste titre que les premiers juges ont mis des dépens réduits de moitié (cf. consid. 6.2 ci-dessus) à la charge de l’appelante. Celle-ci n’expose pas en quoi le montant de 15'000 fr. retenu à titre de dépens par les premiers juges serait contraire aux dispositions légales en vigueur. Il n’y a donc pas lieu d’entrer en matière sur cette critique. De même, s'agissant de la répartition des frais judiciaires de première instance, sur lesquels portent aussi la conclusion III de l'appel, celui-ci ne comporte aucune motivation spécifique, l'appelante se contentant de renvoyer à la motivation relative aux dépens. La réponse apportée ci-dessus aux griefs se rapportant aux dépens permet de sceller la critique portant sur les frais judiciaires, la même clé de répartition ayant été appliquée. Enfin, dans la mesure où les griefs de l’appel sont rejetés, il n’y a pas lieu de revoir la répartition des frais et dépens telle que pratiquée par les premiers juges.</w:t>
      </w:r>
    </w:p>
    <w:p>
      <w:r>
        <w:rPr>
          <w:b/>
        </w:rPr>
        <w:t>E. 7.1</w:t>
      </w:r>
    </w:p>
    <w:p>
      <w:r>
        <w:t>Pour ces motifs, l’appel doit être rejeté et le jugement confirmé.</w:t>
      </w:r>
    </w:p>
    <w:p>
      <w:r>
        <w:rPr>
          <w:b/>
        </w:rPr>
        <w:t>E. 7.2</w:t>
      </w:r>
    </w:p>
    <w:p>
      <w:r>
        <w:t>Les frais judiciaires de deuxième instance, arrêtés à 1'200 fr. (art. 63 al. 2 TFJC [tarif des frais judiciaires civils du 28 septembre 2010 ; BLV 270.11.5]), sont mis à la charge de l’appelante, qui succombe (art. 106 al. 1 CPC), mais provisoirement laissés à la charge de l’Etat (art. 122 CPC).</w:t>
      </w:r>
    </w:p>
    <w:p>
      <w:r>
        <w:rPr>
          <w:b/>
        </w:rPr>
        <w:t>E. 7.3</w:t>
      </w:r>
    </w:p>
    <w:p>
      <w:r>
        <w:t>Selon l'art. 119 al. 5 CPC, l’assistance judiciaire doit faire l’objet d’une nouvelle requête pour la procédure de deuxième instance. Une personne a droit à l'assistance judiciaire si elle ne dispose pas de ressources suffisantes et si sa cause ne paraît pas dépourvue de toutes chances de succès (art. 117 CPC). En l’espèce, l’appelante A.H.________ remplit les conditions d’octroi de l’assistance judiciaire énumérées à l'art. 117 CPC, de sorte qu'elle lui sera accordée dans la procédure d'appel. L’avocat Alain Sauteur lui sera désigné comme conseil d'office. Le conseil de l’appelante a indiqué dans sa liste d'opérations avoir consacré 10 heures et 21 minutes au dossier. Vu la nature du litige et les difficultés de la cause, il y a lieu d’admettre ce nombre d'heures. Il s'ensuit qu'au tarif horaire de 180 fr. (art. 2 al. 1 let. a et b RAJ [règlement sur l’assistance judiciaire en matière civile du 7 décembre 2010 ; BLV 211.02.3), l’indemnité d’office de Me Alain Sauteur doit être fixée à 1'863 fr., montant auquel s’ajoutent les débours par 37 fr. 25 (2 % de 1'863 fr. [art. 3bis al. 1 RAJ]) et la TVA à 7,7 % sur le tout par 146 fr. 30, soit 2'046 fr. 55 au total, montant qui peut être arrondi à 2'047 francs. La bénéficiaire de l’assistance judiciaire est, dans la mesure de l’art. 123 CPC, tenue au remboursement des frais judiciaires et de l’indemnité de son conseil d'office provisoirement laissés à la charge de l'Etat.</w:t>
      </w:r>
    </w:p>
    <w:p>
      <w:r>
        <w:rPr>
          <w:b/>
        </w:rPr>
        <w:t>E. 7.4</w:t>
      </w:r>
    </w:p>
    <w:p>
      <w:r>
        <w:t>L’octroi de l’assistance judiciaire ne dispense pas la partie du versement des dépens à la partie adverse (art. 122 al. 1 let. d CPC). Vu l’issue du litige, l’appelante doit verser à l’intimé de pleins dépens de deuxième instance, d’un montant de 2'500 fr. (art.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