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814 vom 24. November 2020</w:t>
      </w:r>
    </w:p>
    <w:p>
      <w:r>
        <w:t>VD Tribunal cantonal, 2020-11-24, FR</w:t>
      </w:r>
    </w:p>
    <w:p>
      <w:r>
        <w:rPr>
          <w:b/>
        </w:rPr>
        <w:t xml:space="preserve">Quelle: </w:t>
      </w:r>
      <w:r>
        <w:t>https://mcp.opencaselaw.ch/entscheid/vd_findinfo_HC___2020___814</w:t>
      </w:r>
    </w:p>
    <w:p>
      <w:r>
        <w:t>FR: VD_FINDINFO HC / 2020 / 814 du 24 novembre 2020</w:t>
      </w:r>
    </w:p>
    <w:p>
      <w:r>
        <w:t>IT: VD_FINDINFO HC / 2020 / 814 del 24 novembre 2020</w:t>
      </w:r>
    </w:p>
    <w:p>
      <w:pPr>
        <w:pStyle w:val="Heading2"/>
      </w:pPr>
      <w:r>
        <w:t>Regeste</w:t>
      </w:r>
    </w:p>
    <w:p>
      <w:r>
        <w:t>ADMINISTRATEUR OFFICIEL DE LA SUCCESSION, JURIDICTION GRACIEUSE, HONORAIRES, MOTIVATION DE LA DEMANDE | 321 al. 1 CPC (CH), 125 al. 1 CDPJ</w:t>
      </w:r>
    </w:p>
    <w:p>
      <w:pPr>
        <w:pStyle w:val="Heading2"/>
      </w:pPr>
      <w:r>
        <w:t>Erwägungen</w:t>
      </w:r>
    </w:p>
    <w:p>
      <w:r>
        <w:rPr>
          <w:b/>
        </w:rPr>
        <w:t>E. 1.1</w:t>
      </w:r>
    </w:p>
    <w:p>
      <w:r>
        <w:t>En droit vaudois, l’administration d’office est régie par l’art. 125 al. 1 CDPJ (Code de droit privé judiciaire vaudois du 12 janvier 2010 ; BLV 211.02), ainsi que par les art. 104 à 109 CDPJ, compte tenu du renvoi de l’art. 111 al. 1 CDPJ. L’administration d’office de la succession constitue une mesure de sûreté de juridiction gracieuse, régie par l’art. 554 CC (Code civil suisse du 10 décembre 1907 ; RS 210). La juridiction gracieuse relevant de la procédure sommaire (art. 248 let. e CPC [Code de procédure civile du 19 décembre 2008 ; RS 272]), seul le recours limité au droit est recevable contre les décisions relatives au certificat d’héritier et à l’administration d’office (art. 109 al. 3 CDPJ). Le recours, écrit et motivé, est introduit auprès de l’instance de recours dans les dix jours à compter de la notification de la décision motivée ou de la notification postérieure de la motivation (art. 321 al. 1 et 2 CPC).</w:t>
      </w:r>
    </w:p>
    <w:p>
      <w:r>
        <w:rPr>
          <w:b/>
        </w:rPr>
        <w:t>E. 1.2</w:t>
      </w:r>
    </w:p>
    <w:p>
      <w:r>
        <w:t>En l’espèce, le recours a été déposé en temps utile par une personne qui bénéficie d’un intérêt digne de protection au sens de l’art. 59 al. 2 let. a CPC. Cet intérêt doit être reconnu à X.________ (ci-après : la recourante) – seule héritière légale et instituée –, dès lors que la rémunération de l’administrateur officiel a été mise à la charge de la succession. Le recours est dès lors recevable sous cet angle.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Berne 2014, n. 27 ad art. 97 LTF).</w:t>
      </w:r>
    </w:p>
    <w:p>
      <w:r>
        <w:rPr>
          <w:b/>
        </w:rPr>
        <w:t>E. 2.2.1</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 14 janvier 2020/5 consid. 2.2.1 ; CREC 29 octobre 2018/327 consid. 2.3).</w:t>
      </w:r>
    </w:p>
    <w:p>
      <w:r>
        <w:rPr>
          <w:b/>
        </w:rPr>
        <w:t>E. 2.2.2</w:t>
      </w:r>
    </w:p>
    <w:p>
      <w:r>
        <w:t>En l’occurrence, les pièces produites par la recourante sont des pièces dites de forme ou des pièces qui figurent déjà au dossier de première instance, hormis la pièce 6/9. Il n’y a pas lieu de tenir compte de cette pièce nouvelle en vertu de l’art. 256 al. 2 CPC, dès lors que, destinée uniquement à démontrer la qualité d’héritière – acquise – de la recourante et l’urgence de se voir délivrer le certificat d’héritier – ce qui a été fait le 11 novembre 2020 – , elle n’a en définitive pas d’influence sur le sort du recours.</w:t>
      </w:r>
    </w:p>
    <w:p>
      <w:r>
        <w:rPr>
          <w:b/>
        </w:rPr>
        <w:t>E. 3.1</w:t>
      </w:r>
    </w:p>
    <w:p>
      <w:r>
        <w:t>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 Le recours doit en outre contenir, sous peine d'irrecevabilité, des conclusions en annulation ou au fond (Jeandin, Commentaire romand, Code de procédure civile [ci-après : CR CPC], 2 e éd., Bâle 2019, n. 5 ad art. 321 CPC), soit l'exposé de ce que la partie veut que le tribunal lui alloue dans sa décision (Tappy, CR CPC, op. cit., n. 11 ad art. 221 CPC).</w:t>
      </w:r>
    </w:p>
    <w:p>
      <w:r>
        <w:rPr>
          <w:b/>
        </w:rPr>
        <w:t>E. 3.2</w:t>
      </w:r>
    </w:p>
    <w:p>
      <w:r>
        <w:t>Il appartient aux cantons de désigner l’autorité qui, en cas de litige, doit statuer sur la note d’honoraires et de débours présentée par l’administrateur d’office d’une succession (ATF 86 I 330, JdT 1961 I 348). Dans le canton de Vaud, l’administrateur d’office est nommé, surveillé et, cas échéant, révoqué par le juge de paix. Ses frais sont également arrêtés par le juge de paix, sans égard à la valeur litigieuse (art. 125 al. 1 CDPJ). En sa qualité d’autorité de surveillance de l’administrateur d’office, le juge de paix dispose d’un large pouvoir d’appréciation.</w:t>
      </w:r>
    </w:p>
    <w:p>
      <w:r>
        <w:rPr>
          <w:b/>
        </w:rPr>
        <w:t>E. 3.3</w:t>
      </w:r>
    </w:p>
    <w:p>
      <w:r>
        <w:t>La recourante conteste le tarif horaire de 400 fr. pratiqué par l’administrateur officiel. Elle fait valoir qu’il ne s’agit pas d’un mandat d’avocat et que la mission confiée, essentiellement d’administration, ne comporterait pas de difficultés particulières, de sorte que le tarif pratiqué ne serait pas justifié. Elle conteste également l’ampleur du travail effectué, qui ne représenterait à l’évidence pas 12 à 13 heures, largement compté. Elle relève en particulier que l’administrateur officiel aurait fait acte de présence dans les locaux où se trouvait le mobilier de la défunte pour une évaluation par l’antiquaire pendant une heure au maximum. L’administrateur se serait certes occupé du sort d’un véhicule dont la valeur était réduite à néant, mais de nombreuses opérations y relatives auraient été effectuées par elle-même ou par son conseil. Il en irait de même de nombreuses autres démarches, lesquelles auraient simplement été validées par l’administrateur d’office. La recourante chiffre ses conclusions, puisqu’elle estime que la rémunération de l’administrateur d’office devrait être arrêtée à 2'000 fr., débours compris. Elle n’indique toutefois pas quel devrait être son tarif horaire. En cela, la critique est déficiente. Elle l’est d’autant plus que la recourante se fonde sur des éléments factuels qui ne ressortent ni de la décision entreprise, ni du dossier de première instance ; ils ne sont du reste nullement établis. En ce qui concerne une éventuelle violation du droit, elle ne démontre pas en quoi le premier juge aurait erré. Ainsi, sous l’angle de la motivation, il est douteux que la critique remplisse les réquisits imposés en la matière. La recourante ne discute en particulier pas la teneur détaillée de la note d’honoraires du 4 mai 2020, mais se contente de commenter la rubrique relative à l’inventaire du mobilier effectué par [...] le 20 mai 2019, en estimant cette tâche à un maximum d’une heure, alors même que la note d’honoraires ne détaille pas le temps consacré à cette activité. Quoi qu’il en soit, au vu des opérations indiquées dans la note d’honoraires, contre lesquelles aucun arbitraire n’est plaidé et ne peut être retenu, la durée de 12 heures et 30 minutes ne peut être considérée comme étant excessive, de même que le montant alloué de 5'000 fr., hors débours et TVA. Cela permet de confirmer le tarif horaire pratiqué, tel qu’admis par le premier juge, qui – rappelons-le – bénéficie d’un large pouvoir d’appréciation en la matière. Aucun des arguments plaidés par la recourante ne permet de retenir une violation du droit dans le cadre de la fixation de la rémunération de l’administrateur d’office.</w:t>
      </w:r>
    </w:p>
    <w:p>
      <w:r>
        <w:rPr>
          <w:b/>
        </w:rPr>
        <w:t>E. 4</w:t>
      </w:r>
    </w:p>
    <w:p>
      <w:r>
        <w:t>En définitive, le recours doit être rejeté dans la mesure de sa recevabilité et la décision attaquée confirmée. Les frais judiciaires de deuxième instance, arrêtés à 200 fr. (art. 74 al. 1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dans la mesure de sa recevabilité. II. La décision est confirmée. III. Les frais judiciaires de deuxième instance, arrêtés à 200 fr. (deux cents francs), sont mis à la charge de la recourante X.________. IV. L’arrêt est exécutoire. Le président : La greffière : Du L'arrêt qui précède, dont la rédaction a été approuvée à huis clos, est notifié à : - Me Olivier Carré (pour X.________), - Me D.________.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