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786 vom 19. November 2020</w:t>
      </w:r>
    </w:p>
    <w:p>
      <w:r>
        <w:t>VD Tribunal cantonal, 2020-11-19, FR</w:t>
      </w:r>
    </w:p>
    <w:p>
      <w:r>
        <w:rPr>
          <w:b/>
        </w:rPr>
        <w:t xml:space="preserve">Quelle: </w:t>
      </w:r>
      <w:r>
        <w:t>https://mcp.opencaselaw.ch/entscheid/vd_findinfo_HC___2020___786</w:t>
      </w:r>
    </w:p>
    <w:p>
      <w:r>
        <w:t>FR: VD_FINDINFO HC / 2020 / 786 du 19 novembre 2020</w:t>
      </w:r>
    </w:p>
    <w:p>
      <w:r>
        <w:t>IT: VD_FINDINFO HC / 2020 / 786 del 19 novembre 2020</w:t>
      </w:r>
    </w:p>
    <w:p>
      <w:pPr>
        <w:pStyle w:val="Heading2"/>
      </w:pPr>
      <w:r>
        <w:t>Regeste</w:t>
      </w:r>
    </w:p>
    <w:p>
      <w:r>
        <w:t>DIVORCE SUR REQUÊTE COMMUNE, RETRAIT{VOIE DE DROIT}, RADIATION DU RÔLE | 111 CC, 114 CC, 287 CPC (CH), 292 al. 1 let. b CPC (CH)</w:t>
      </w:r>
    </w:p>
    <w:p>
      <w:pPr>
        <w:pStyle w:val="Heading2"/>
      </w:pPr>
      <w:r>
        <w:t>Erwägungen</w:t>
      </w:r>
    </w:p>
    <w:p>
      <w:r>
        <w:rPr>
          <w:b/>
        </w:rPr>
        <w:t>E. 1</w:t>
      </w:r>
    </w:p>
    <w:p>
      <w:r>
        <w:t>L'appel est recevable contre les décisions finales (art. 236 CPC) et les décisions incidentes (art. 237 CPC) de première instance (art. 308 al. 1 let. a CPC) dans les causes non patrimoniales ou dont la valeur litigieuse est supérieure à 10'000 fr. (art. 308 al. 2 CPC). L'appel, écrit et motivé, est introduit dans les trente jours à compter de la notification de la décision motivée (art. 311 CPC). En l’espèce, l’appel est dirigé contre un prononcé prenant acte du retrait de la demande unilatérale en divorce déposée par l’appelant et statuant sur les conséquences de ce retrait. Le désistement d’action met fin à l’instance. Le dispositif du prononcé ne contient toutefois pas un chiffre ordonnant la radiation du rôle, celle-ci étant néanmoins prévue dans les considérants du prononcé. Cette contradiction entre les considérants du prononcé et son dispositif résulte d’un oubli manifeste au sens de l’art. 334 al. 1 CPC, de sorte qu’il y a lieu de considérer que le caractère final de la décision entreprise est donné. Interjeté en temps utile par une partie qui a un intérêt digne de protection (art. 59 al. 2 let. a CPC), dans une cause de nature non patrimoniale, et dûment motivé, l’appel est recevable.</w:t>
      </w:r>
    </w:p>
    <w:p>
      <w:r>
        <w:rPr>
          <w:b/>
        </w:rPr>
        <w:t>E. 2</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[cité ci-après : CR-CPC], nn. 2 ss ad art. 310 CPC). Elle peut revoir librement l'appréciation des faits sur la base des preuves administrées en première instance (Jeandin, op. cit., n. 6 ad art. 310 CPC).</w:t>
      </w:r>
    </w:p>
    <w:p>
      <w:r>
        <w:rPr>
          <w:b/>
        </w:rPr>
        <w:t>E. 3.1</w:t>
      </w:r>
    </w:p>
    <w:p>
      <w:r>
        <w:t>L’appelante soutient que son acceptation du principe du divorce, lors de l’audience de conciliation, ferait obstacle au retrait, par l’intimé, de sa demande de divorce.</w:t>
      </w:r>
    </w:p>
    <w:p>
      <w:r>
        <w:rPr>
          <w:b/>
        </w:rPr>
        <w:t>E. 3.2</w:t>
      </w:r>
    </w:p>
    <w:p>
      <w:r>
        <w:t>La procédure de divorce est introduite par le dépôt d'une requête commune ou d'une demande unilatérale tendant au divorce (art. 274 CPC). Conformément à l'art. 114 CC, un époux peut demander le divorce lorsque, au début de la litispendance ou au jour du remplacement de la requête par une demande unilatérale, les conjoints ont vécu séparés pendant deux ans au moins. Si une demande en divorce est déposée sur la base de l'art. 114 CC alors que le délai de deux ans n'est pas acquis, la cause de divorce n'est pas donnée et la demande doit être rejetée en tant que mal fondée. Le respect du délai constitue en effet la condition matérielle de l'admission de la demande et non une simple condition de recevabilité au sens de l'art. 59 CPC (Bohnet, CPra Matrimonial, Bâle 2016 n. 21 ad art. 114 CC).</w:t>
      </w:r>
    </w:p>
    <w:p>
      <w:r>
        <w:rPr>
          <w:b/>
        </w:rPr>
        <w:t>E. 3.2.2</w:t>
      </w:r>
    </w:p>
    <w:p>
      <w:r>
        <w:t>L'art. 292 al. 1 CPC permet de transformer un divorce sur demande unilatérale en un divorce sur requête commune lorsque les époux ont vécu séparés pendant moins de deux ans au début de la litispendance (let. a) et qu'ils ont accepté le divorce (let. b). L'application des dispositions du divorce sur requête commune suppose donc le consentement du défendeur au divorce. Celui-ci intervient en principe à l'audience de conciliation ou dans  une prise de position écrite à l'adresse du juge, antérieure ou postérieure, à cette audience (Bohnet, op. cit., n. 3 ad art. 292 CPC). Le Tribunal fédéral précise à cet égard que la volonté de divorcer doit être exprimée dans la procédure en cours et être adressée au tribunal (ATF 137 III 421 consid. 5.1 ; TF 5A 523/2007 du 10 avril 2008 consid. 5.1 publié in FamPra.ch 2008 p. 897 et les références). Contrairement à l'art. 116 aCC (disposition abrogée le 1 er janvier 2011 par l'art. 292 al. 1 CPC), l'art. 292 al. 1 let. b CPC n'exige pas que l'acceptation intervienne de manière expresse ou par demande reconventionnelle. Dès lors, celle-ci peut être implicite, en particulier lorsque le défendeur dépose lui-même une demande en divorce. Ce qui est déterminant est la volonté claire des parties de divorcer, donc qu'il y ait un accord sur le principe du divorce (ATF 139 III 482, JdT 2014 II 276 ; Bohnet, op. cit., n. 4 ad art. 292 CPC). Bohnet considère que la sécurité juridique impose une certaine retenue pour admettre l’accord sur le principe du divorce. Selon cet auteur, seule une démarche judiciaire visant au divorce, auprès d'un juge, suisse ou étranger, compétent ou non, doit être considérée comme une acceptation implicite. Des déclarations hors audience ne sont pas nécessairement réfléchies et ne sauraient remplacer la signature d'une requête commune en cas d'accord sur le principe du divorce ou d'une déclaration en audience (Bohnet, op. cit., n. 5 ad art. 292 CPC).</w:t>
      </w:r>
    </w:p>
    <w:p>
      <w:r>
        <w:rPr>
          <w:b/>
        </w:rPr>
        <w:t>E. 3.3.1</w:t>
      </w:r>
    </w:p>
    <w:p>
      <w:r>
        <w:t>En l’espèce, la procédure de divorce a été ouverte le 16 janvier 2019 par une demande unilatérale. Il n’est pas contesté que la condition du délai de deux ans de séparation n’était pas réalisée au moment où le premier juge a statué, les époux vivant séparés depuis le 11 novembre 2017. La demande ne peut ainsi pas se fonder sur l'art. 114 CC. Elle ne se fonde pas non plus sur l'art. 115 CC, les motifs du divorce n’apparaissant ainsi pas avérés. Il convient dès lors d’examiner si l’appelante a néanmoins consenti au principe du divorce, ce qui aurait pour effet – en application de l’art. 292 al. 1 CPC – de transformer le divorce sur demande unilatérale en divorce sur requête commune. Selon le procès-verbal de l’audience de conciliation du 4 mars 2019, l’appelante a admis « l’existence d’un motif de divorce au sens de l’art. 114 CC », après que les parties avaient été entendues ensemble puis séparément par le premier juge. Le délai de deux ans de séparation n’étant pas atteint, on ne peut comprendre cette déclaration autrement que par la volonté de l’appelante d’adhérer néanmoins au principe du divorce. Le déroulement de l’audience de conciliation va également dans ce sens. On ne voit en effet pas la raison pour laquelle le premier juge aurait entendu les parties ensemble, puis séparément, si ce n’est pour vérifier, selon les exigences de l’art. 111 CC, qu’elles étaient résolues à divorcer à la suite d’une mûre réflexion et de plein gré. La mise en oeuvre d’un processus de médiation plaide également en faveur de l’adhésion de l’appelante au divorce, puisqu’il ressort du procès-verbal de l’audience de conciliation que ce processus devait permettre aux parties de trouver un accord sur les effets accessoires de leur divorce. On doit donc retenir de l’ensemble des éléments qui précèdent que les parties ont clairement manifesté leur volonté d’obtenir le divorce sur la base de l’art. 292 al. 1 CPC et que leur accord sur ce point a été scellé lors de l’audience de conciliation du 4 mars 2019, cet accord ayant pour effet de transformer la demande unilatérale en divorce de l’intimé en requête en divorce sur requête commune et le procès devant se poursuivre selon les dispositions des art. 285 ss CPC.</w:t>
      </w:r>
    </w:p>
    <w:p>
      <w:r>
        <w:rPr>
          <w:b/>
        </w:rPr>
        <w:t>E. 3.3.2</w:t>
      </w:r>
    </w:p>
    <w:p>
      <w:r>
        <w:t>Savoir si, dans le cadre de la procédure sur requête commune, un époux peut retirer son accord avec le principe du divorce ou avec le règlement conventionnel de ses effets, sans qu’il y ait eu de vice de la volonté ou d’autre motif d’invalidité de cet accord, a suscité d’importantes controverses. Depuis le 1 er février 2010, même en procédure sur requête commune, les époux sont en principe liés par leur accord avec le principe du divorce et les effets de celui-ci dès qu’ils l’ont confirmé lors de l’audition prévue par l’art. 287 CPC. Dans le cadre de l’ancien art. 111 al. 2 CC, abrogé au 1 er février 2010, la jurisprudence tenait un tel changement d’avis pour libre jusqu’à la réalisation des conditions prévues par cette disposition pour prononcer le divorce. La suppression du délai de réflexion de deux mois n’a selon l’opinion majoritaire et la jurisprudence rien changé à ce principe, mais seulement avancé le terme jusqu’auquel un revirement reste libre : en conséquence, dans le cadre d’une procédure sur requête commune, un époux peux librement révoquer son consentement au divorce ou son accord avec la convention jusqu’à son audition selon les art. 111 CC et 287 CPC (cf. Tappy, CR-CPC, n. 11 ad art. 288 CPC et les réf. cit. ; Dietschy-Martenet, CPra Matrimonial, n. 13 ad art. 288 CPC). En l’espèce, l’intimé a indiqué retirer sa demande en divorce par courrier du 19 juin 2019, soit après que l’appelante avait consenti au divorce à l’audience du 4 mars 2019 et que le premier juge avait en conséquence exhorté les parties à tenter une médiation aux fins de leur permettre de trouver un accord sur les effets accessoires du divorce. Les parties ayant toutes deux confirmé devant le juge leur volonté de divorcer, celui-ci ne pouvait dès lors prendre acte de ce retrait et ordonner que la cause soit rayée du rôle. En effet, les parties ayant pris une conclusion commune en divorce, l’appelant ne pouvait plus révoquer unilatéralement son consentement quant au principe du divorce, sauf à invoquer un vice du consentement, non allégué ni établi en l’espèce, l’intimé se bornant à évoquer la dégradation de son état de santé, eu égard à la pression engendrée par la procédure de divorce et les supposés agissements de l’appelante dans le cadre de cette procédure.</w:t>
      </w:r>
    </w:p>
    <w:p>
      <w:r>
        <w:rPr>
          <w:b/>
        </w:rPr>
        <w:t>E. 4.1</w:t>
      </w:r>
    </w:p>
    <w:p>
      <w:r>
        <w:t>Il s’ensuit que l’appel doit être admis et le prononcé annulé, la cause étant renvoyée au premier juge pour qu’il reprenne l’instruction de la demande en divorce et poursuive la procédure en contradictoire, selon les règles applicables à la requête commune de divorce avec accord partiel (art. 288 al. 2 CPC).</w:t>
      </w:r>
    </w:p>
    <w:p>
      <w:r>
        <w:rPr>
          <w:b/>
        </w:rPr>
        <w:t>E. 4.2</w:t>
      </w:r>
    </w:p>
    <w:p>
      <w:r>
        <w:t>Les frais judiciaires de deuxième instance, arrêtés à 600 fr. (art. 63 al. 1 TFJC [tarif des frais judiciaires civils du 28 septembre 2010 ; BLV 270.11.5]), seront mis à la charge de l’intimé, qui succombe (art. 106 al. 1 CPC).</w:t>
      </w:r>
    </w:p>
    <w:p>
      <w:r>
        <w:rPr>
          <w:b/>
        </w:rPr>
        <w:t>E. 4.3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Dans son relevé du 12 novembre 2020, Me Michaël Stauffacher indique avoir consacré 10.35 heures à la procédure d’appel, pour ses opérations du 13 décembre 2019 à ce jour. Ce décompte peut être admis, à l’exception du temps consacré à la confection d’un bordereau de pièces le 19 décembre 2019, comptabilisé à raison de 0.50 heure y compris la rédaction du courrier d’envoi de l’appel. En effet, l’établissement d’un bordereau de pièces constitue un travail de secrétariat n’ayant pas à être rémunéré (Juge délégué CACI 7 septembre 2020/375 consid. 9.4.1 ; Juge délégué CACI 2 octobre 2017/437 consid. 7.1). Le temps qu’il était adéquat de consacrer au mandat sera ainsi réduit à 9.90 heures, de sorte qu’au tarif horaire de 180 fr., l’indemnité de Me Michaël Stauffacher doit être fixée à 1'957 fr. 60, comprenant des honoraires par 1'782 fr. (180 x 9.9), des débours fixés forfaitairement à 2% (cf. art. 3bis al. 1 RAJ), par 35 fr. 65, et la TVA à 7,7 % sur le tout, par 139 fr. 95. La bénéficiaire de l’assistance judiciaire est, dans la mesure de l’art. 123 CPC, tenue au remboursement des frais judiciaires et de l’indemnité à son conseil d’office, provisoirement laissés à la charge de l’Etat.</w:t>
      </w:r>
    </w:p>
    <w:p>
      <w:r>
        <w:rPr>
          <w:b/>
        </w:rPr>
        <w:t>E. 4.4</w:t>
      </w:r>
    </w:p>
    <w:p>
      <w:r>
        <w:t>L’intimé, qui succombe entièrement, versera à l’appelante de pleins dépens de deuxième instance, qui doivent être arrêtés à 2'350 fr. (art. 3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