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756 vom 26. Oktober 2020</w:t>
      </w:r>
    </w:p>
    <w:p>
      <w:r>
        <w:t>VD Tribunal cantonal, 2020-10-26, FR</w:t>
      </w:r>
    </w:p>
    <w:p>
      <w:r>
        <w:rPr>
          <w:b/>
        </w:rPr>
        <w:t xml:space="preserve">Quelle: </w:t>
      </w:r>
      <w:r>
        <w:t>https://mcp.opencaselaw.ch/entscheid/vd_findinfo_HC___2020___756</w:t>
      </w:r>
    </w:p>
    <w:p>
      <w:r>
        <w:t>FR: VD_FINDINFO HC / 2020 / 756 du 26 octobre 2020</w:t>
      </w:r>
    </w:p>
    <w:p>
      <w:r>
        <w:t>IT: VD_FINDINFO HC / 2020 / 756 del 26 ottobre 2020</w:t>
      </w:r>
    </w:p>
    <w:p>
      <w:pPr>
        <w:pStyle w:val="Heading2"/>
      </w:pPr>
      <w:r>
        <w:t>Regeste</w:t>
      </w:r>
    </w:p>
    <w:p>
      <w:r>
        <w:t>ASSISTANCE JUDICIAIRE, DROIT D'ÊTRE ENTENDU, MOTIVATION DE LA DÉCISION, DÉNUEMENT, CHANCES DE SUCCÈS | 29 al. 2 Cst., 117 CPC (CH), 118 CPC (CH), 53 CPC (CH)</w:t>
      </w:r>
    </w:p>
    <w:p>
      <w:pPr>
        <w:pStyle w:val="Heading2"/>
      </w:pPr>
      <w:r>
        <w:t>Erwägungen</w:t>
      </w:r>
    </w:p>
    <w:p>
      <w:r>
        <w:rPr>
          <w:b/>
        </w:rPr>
        <w:t>E. 1</w:t>
      </w:r>
    </w:p>
    <w:p>
      <w:r>
        <w:t>. 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w:t>
      </w:r>
    </w:p>
    <w:p>
      <w:r>
        <w:rPr>
          <w:b/>
        </w:rPr>
        <w:t>E. 2.1</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 ATF 135 I 91 consid. 2.4.3 ; ATF 128 I 225 consid. 2.5.1, JdT 2006 IV 47).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la 179 consid. 3a ; TF 5A_327/2017 du 2 août 2017 consid. 4.1.1 ; Tappy, op. cit., n. 23 ss ad art. 117 CPC). Seules les charges réellement acquittées sont susceptibles d'entrer dans le calcul du minimum vital (ATF 121 III 20 consid. 3a ; TF 5F_8/2010 du 26 mai 2011 consid. 3.1 non publié aux ATF 137 III 332 ; TF 5A_181/2019 du 27 mai 2019 consid. 3.1.1 et les références citées). Selon la jurisprudence du Tribunal fédéral,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138 III 217 consid. 2.2.4 et les réf. citées ; TF 4A_286/2011 du 30 août 2011 consid. 2).</w:t>
      </w:r>
    </w:p>
    <w:p>
      <w:r>
        <w:rPr>
          <w:b/>
        </w:rPr>
        <w:t>E. 2.2</w:t>
      </w:r>
    </w:p>
    <w:p>
      <w:r>
        <w:t>Le droit d'être entendu est une garantie constitutionnelle (art. 29 al. 2 Cst.)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 développée par le Tribunal fédéral en relation avec l'art. 29 al. 2 Cst. doit aussi être prise en compte pour l'interprétation de cette disposition (TF 5A_805/2012 du 11 février 2013 consid. 3.2.3 ; TF 5A_109/2012 du 3 mai 2012 consid. 2.1 ; TF 5A_31/2012 du 5 mars 2012 consid. 4.3 et les références) La jurisprudence a notamment déduit du droit d'être entendu le devoir pour le juge de motiver sa décision. Il suffit à cet égard que celui-ci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 elle peut se limiter à ceux qui lui paraissent pertinents (ATF 136 I 229 consid. 5.2 ; ATF 133 I 270 consid. 3.1 ; ATF 130 Il 530 consid. 4.3). Une motivation implicite, résultant des différents considérants de la décision, suffit à respecter le droit d'être entendu (TF 5A_278/2012 du 14 juin 2012 consid. 4.1 ; TF 6B_726/2010 du 17 mai 2011 consid. 1.3 in fine). L'art. 53 CPC n'offre pas de garanties plus étendues que la norme constitutionnelle (TF 5A_699/2013 du 29 novembre 2013 consid. 2.2 ; TF 5A_209/2013 du 9 juillet 2013 consid. 6.3 et les références).</w:t>
      </w:r>
    </w:p>
    <w:p>
      <w:r>
        <w:rPr>
          <w:b/>
        </w:rPr>
        <w:t>E. 2.3</w:t>
      </w:r>
    </w:p>
    <w:p>
      <w:r>
        <w:t>En l'espèce, la décision attaquée se limite à constater que l’intimé remplit les conditions d’octroi de l’assistance judiciaire. Elle n’expose pas les faits pertinents retenus par le juge à l’appui de sa décision, ni les motifs qui ont conduit la juge à considérer que l’intimé serait indigent et que ses chances de succès dans la cause au fond seraient sérieuses. Elle ne permet ainsi pas aux recourants, qui se sont longuement déterminés sur les raisons pour lesquelles il y avait lieu de considérer que les conditions d’octroi de l’assistance n’étaient manifestement pas réunies, de l’attaquer en connaissance de cause. Il y a dès lors lieu d’admettre une violation de leur droit d’être entendus. Le principe de la double instance cantonale impose que le prononcé soit annulé, le premier juge étant invité à motiver les raisons pour lesquelles il considère que l’assistance judiciaire peut être octroyée à l’intimé. Celui-ci devra notamment expliquer en quoi les pièces produites au dossier permettent de retenir que l’intimé est indigent et, partant, qu’il peut être dispensé de verser des sûretés. Le cas échéant, le premier juge est invité à ordonner la production de toute autre pièce qu’il estimera utile pour trancher cette question. Les recours sont ainsi admis sur la question de la violation du droit d’être entendu des recourants, sans qu’il soit nécessaire à ce stade d’examiner les autres griefs invoqués à l’appui de leurs recours des 11 novembre et 20 décembre 2019.</w:t>
      </w:r>
    </w:p>
    <w:p>
      <w:r>
        <w:rPr>
          <w:b/>
        </w:rPr>
        <w:t>E. 3.1</w:t>
      </w:r>
    </w:p>
    <w:p>
      <w:r>
        <w:t>Compte tenu de ce qui précède, les recours doivent être admis et la décision annulée, la cause étant renvoyée à la Juge déléguée de la Chambre patrimoniale cantonale pour qu’elle statue à nouveau.</w:t>
      </w:r>
    </w:p>
    <w:p>
      <w:r>
        <w:rPr>
          <w:b/>
        </w:rPr>
        <w:t>E. 3.2</w:t>
      </w:r>
    </w:p>
    <w:p>
      <w:r>
        <w:t>L’intimé conclut à ce qu’il soit mis au bénéfice de l’assistance judiciaire pour la présente procédure. Au vu des considérants de l’arrêt fédéral, il y a lieu de considérer que sa conclusion principale tendant à la confirmation de la décision du premier juge était dénuée de chances de succès, de sorte que sa requête d’assistance judiciaire doit être rejetée.</w:t>
      </w:r>
    </w:p>
    <w:p>
      <w:r>
        <w:rPr>
          <w:b/>
        </w:rPr>
        <w:t>E. 3.3</w:t>
      </w:r>
    </w:p>
    <w:p>
      <w:r>
        <w:t>Selon l’art. 106 al. 1 CPC, les frais, qui comprennent les frais judiciaires et les dépens, sont mis à la charge de la partie succombante. Dans ses déterminations, l’intimé conclut au rejet des recours formés par A.M.________, L.________, B.M.________ et C.M.________ et à la confirmation de la décision entreprise. Vu l’issue du litige, il doit être considéré comme étant la partie succombante. Les recourants, qui obtiennent l’annulation de la décision du premier juge, ont donc droit à des dépens de deuxième instance, qui seront arrêtés, en équité à 800 fr. (art. 8 TDC [tarif des dépens en matière civile du 23 novembre 2010 ; BLV 270.11.6])</w:t>
      </w:r>
    </w:p>
    <w:p>
      <w:r>
        <w:rPr>
          <w:b/>
        </w:rPr>
        <w:t>E. 3.4</w:t>
      </w:r>
    </w:p>
    <w:p>
      <w:r>
        <w:t>Il n’est pas perçu de frais judiciaires de deuxième instance (art.107 al. 2 CPC). Par ces motifs, la Chambre des recours civile du Tribunal cantonal, prononce : I. Les recours formés par A.M.________, L.________, B.M.________ et C.M.________ sont admis. II. La décision rendue le 29 octobre 2019 par la Juge déléguée de la Chambre patrimoniale cantonale est annulée et la cause est renvoyée à l’autorité précédente pour nouvelle décision dans le sens des considérants. III. La requête d’assistance judiciaire de Z.________ est rejetée. IV. Z.________ doit verser à A.M.________, L.________, B.M.________ et C.M.________ la somme de 800 fr. (huit cents francs), solidairement entre eux, à titre de dépens de deuxième instance. V. L’arrêt, rendu sans frais judiciaires de deuxième instance, est exécutoire. Le président :               La greffière : Du L'arrêt qui précède, dont la rédaction a été approuvée à huis clos, est notifié à : ‑ Me Jean-Rodolphe Fiechter (pour A.M.________, L.________, B.M.________ et C.M.________), ‑ Me Raphaël Mahaim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