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733 vom 26. Oktober 2020</w:t>
      </w:r>
    </w:p>
    <w:p>
      <w:r>
        <w:t>VD Tribunal cantonal, 2020-10-26, FR</w:t>
      </w:r>
    </w:p>
    <w:p>
      <w:r>
        <w:rPr>
          <w:b/>
        </w:rPr>
        <w:t xml:space="preserve">Quelle: </w:t>
      </w:r>
      <w:r>
        <w:t>https://mcp.opencaselaw.ch/entscheid/vd_findinfo_HC___2020___733</w:t>
      </w:r>
    </w:p>
    <w:p>
      <w:r>
        <w:t>FR: VD_FINDINFO HC / 2020 / 733 du 26 octobre 2020</w:t>
      </w:r>
    </w:p>
    <w:p>
      <w:r>
        <w:t>IT: VD_FINDINFO HC / 2020 / 733 del 26 ottobre 2020</w:t>
      </w:r>
    </w:p>
    <w:p>
      <w:pPr>
        <w:pStyle w:val="Heading2"/>
      </w:pPr>
      <w:r>
        <w:t>Regeste</w:t>
      </w:r>
    </w:p>
    <w:p>
      <w:r>
        <w:t>EXPULSION DE LOCATAIRE, CHOSE JUGÉE, CAS CLAIR, DROIT D'ÊTRE ENTENDU, POUVOIR DE REPRÉSENTATION | 32 al. 1 CO, 38 al. 1 CO, 29 al. 2 Cst., 257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 comme en l’espèce – la validité du congé est également contestée, la valeur litigieuse est égale au loyer de la période minimum pendant laquelle le contrat subsiste si le congé n’est pas valable, soit, eu égard à la période de protection visée à l’art. 271a al. 1 let. e CO, en principe pendant trois ans lorsqu’il s’agit d’un bail de locaux commerciaux (ATF 144 III 346 consid. 1.2.1 et 1.2.2). Lorsque la décision entreprise a été rendue en procédure sommaire, comme c'est le cas dans la procédure en cas clair (art. 248 let. b CPC), le délai d'appel est de dix jours (art. 314 al. 1 CPC).</w:t>
      </w:r>
    </w:p>
    <w:p>
      <w:r>
        <w:rPr>
          <w:b/>
        </w:rPr>
        <w:t>E. 1.2</w:t>
      </w:r>
    </w:p>
    <w:p>
      <w:r>
        <w:t>En l’occurrence, formé en temps utile par une partie qui dispose d’un intérêt digne de protection (art. 59 al. 2 let. a CPC) et portant sur un objet patrimonial dont la valeur litigieuse est supérieure à 10'000 fr., compte tenu de la quotité du loyer litigieux, l’appel est recevable.</w:t>
      </w:r>
    </w:p>
    <w:p>
      <w:r>
        <w:rPr>
          <w:b/>
        </w:rPr>
        <w:t>E. 2</w:t>
      </w:r>
    </w:p>
    <w:p>
      <w:r>
        <w:t>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w:t>
      </w:r>
    </w:p>
    <w:p>
      <w:r>
        <w:rPr>
          <w:b/>
        </w:rPr>
        <w:t>E. 3.1</w:t>
      </w:r>
    </w:p>
    <w:p>
      <w:r>
        <w:t>Dans un premier grief, l'appelante fait valoir une violation de son droit d'être entendue. Elle rapporte que dans son écriture du 26 juin 2020, elle a conclu au constat de la nullité du congé du 19 juillet 2020. A l’appui de sa conclusion, elle se réfère à l’argumentation de son écriture relative à l’absence de procuration de l’avocat de la bailleresse. Elle expose que le premier juge n’aurait pas examiné cette question, mais que l’absence de pouvoirs de représentation aurait été uniquement examinée sous l’angle de la recevabilité et non pas sous l’angle de la nullité.</w:t>
      </w:r>
    </w:p>
    <w:p>
      <w:r>
        <w:rPr>
          <w:b/>
        </w:rPr>
        <w:t>E. 3.2</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3.3</w:t>
      </w:r>
    </w:p>
    <w:p>
      <w:r>
        <w:t>En l’espèce, le premier juge a d’abord examiné la question des pouvoirs de représentation de l’avocat de l’intimée. A l’issue de son examen, il a retenu que celle-ci avait été valablement représentée dans le cadre de la présente procédure. Le premier juge a ensuite constaté que l’intimée était au bénéfice d’une proposition de jugement considérée comme reconnue et qui déployait les effets d’une décision entrée en force. Il a également relevé que l’appelante s’était « déterminée sur les conditions des congés qui lui ont été notifiés et qu’il n’y a plus lieu d’examiner ici ». Ainsi, contrairement à ce que semble invoquer l’appelante, ses griefs et conclusions ont été traités par le premier juge. Quant au grief relatif à la capacité de représentation du mandataire de la partie adverse, celui-ci sera examiné au consid. 4.3 infra . Comme on le verra, ce grief a également fait l’objet d’un examen par le premier juge, qui a exposé les raisons pour lesquelles il n’entendait pas entrer en matière au sujet de la validité des congés notifiés (cf consid. 4.3 infra ). Enfin, le chiffre VII du dispositif du jugement entrepris a déclaré irrecevables toutes autres ou plus amples conclusions, de sorte qu’on ne peut que constater que ce dispositif a statué formellement sur toutes les questions qui avaient été soumises au premier juge. Le grief de l’appelante, mal fondé, doit être rejeté.</w:t>
      </w:r>
    </w:p>
    <w:p>
      <w:r>
        <w:rPr>
          <w:b/>
        </w:rPr>
        <w:t>E. 4.1</w:t>
      </w:r>
    </w:p>
    <w:p>
      <w:r>
        <w:t>Dans un second moyen, l’appelante fait valoir une absence de pouvoirs de représentation du conseil de l’intimée. Elle soutient que le mandat des membres du Conseil [...] serait d’une durée de trois ans, renouvelable au maximum trois fois (art. 12 al. 3 des statuts). Dès lors que D.________ aurait été élue en qualité de présidente en 2014, son mandat aurait pris fin en 2017 et Me Guignard n’aurait pas apporté la preuve de la réélection de D.________ en 2017.</w:t>
      </w:r>
    </w:p>
    <w:p>
      <w:r>
        <w:rPr>
          <w:b/>
        </w:rPr>
        <w:t>E. 4.2</w:t>
      </w:r>
    </w:p>
    <w:p>
      <w:r>
        <w:t>La représentation civile est régie par les art. 32 ss CO (TF 4A_141/2018 du 4 septembre 2018, consid. 5.2). Est représentant au sens de ces règles générales celui qui reçoit des pouvoirs de représentation pour s’occuper d’une affaire bien déterminée et limitée dans le temps (TF 4A_187/2018 du 21 février 2019 consid. 3.1.4.2 et les références citées). En vertu de l'art. 32 al. 1 CO, pour que les représentants — organes exécutifs ou représentants commerciaux et civils — engagent valablement la société, il faut que les deux conditions soient remplies : le représentant doit agir au nom du représenté (« fait au nom d'une autre personne ») et en vertu de l'autorisation qui lui a été donnée par le représenté (« autorisé »), à savoir en vertu d'une procuration. Si la seconde condition n'est pas réalisée — alors que la première l'est — il faut se demander si le défaut de représentation a été réparé ultérieurement (art. 38 al. 1 CO) ou si la représentation sans pouvoirs au sens de l'art. 33 al. 3 CO (à savoir la question de la procuration externe apparente) peut être admise (TF 4A_187/2018 précité consid. 3.2 ; TF 4A_473/2016 du 16 février 2017 consid. 3.1.2 et les arrêts cités). Lorsqu'un représentant a la volonté d'agir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 deuxièmement si le représenté ratifie l'acte accompli en son nom (art. 38 CO) ; troisièmement si le tiers de bonne foi pouvait se fier aux pouvoirs qui lui avaient été communiqués, même tacitement (art. 33 al. 3, 34 al. 3 et 37 CO) (ATF 131 III 511 consid. 3.1). A teneur de l'art. 33 al. 3 CO, si les pouvoirs ont été portés par le représenté à la connaissance d'un tiers, leur étendue est déterminée envers ce dernier par les termes de la communication qui lui a été faite. Le défaut de la capacité d'ester du demandeur doit aboutir en premier lieu à la fixation au représentant légal d'un délai pour ratifier l'acte (art. 132 al. 1 CPC). Dans un deuxième temps, à défaut de ratification, le tribunal refusera d'entrer en matière (CACI 15 août 2017/354).</w:t>
      </w:r>
    </w:p>
    <w:p>
      <w:r>
        <w:rPr>
          <w:b/>
        </w:rPr>
        <w:t>E. 4.3</w:t>
      </w:r>
    </w:p>
    <w:p>
      <w:r>
        <w:t>Il ressort des faits que selon l'art. 13 al. 5 des statuts concernant les compétences du Conseil [...], l’intimée est engagée par la signature du président ou du vice-président du Conseil et d'un autre membre. Il ressort par ailleurs de divers procès-verbaux des assemblées générales de l’intimée que D.________ est présidente du Conseil [...] depuis 2014 à tout le moins et que J.________ a rejoint le Conseil au deuxième semestre 2019 en qualité de membre. A cet égard, le premier juge a retenu qu’en signant seule la procuration du 10 avril 2019 en faveur de l’avocat Daniel Guignard, D.________ n’avait pas valablement engagé la bailleresse, la signature d’un autre membre du conseil faisant défaut. Toutefois, il a estimé qu’en signant une nouvelle procuration le 19 mai 2020, D.________ et J.________ avaient ratifié l’action d’ores et déjà intentée par leur mandataire. Partant, selon le premier juge, la bailleresse était valablement représentée dans la procédure. Le raisonnement du premier juge peut être confirmé. L’appelante est de mauvaise foi lorsqu’elle prétend qu’il ne serait pas établi que D.________ aurait été réélue en qualité de présidente du Conseil [...]. En effet, il ressort expressément du procès-verbal de l’assemblée générale du 8 mai 2019 que D.________ avait désignée en qualité de présidente. Partant, ce grief de l’appelante tombe à faux.</w:t>
      </w:r>
    </w:p>
    <w:p>
      <w:r>
        <w:rPr>
          <w:b/>
        </w:rPr>
        <w:t>E. 5.1</w:t>
      </w:r>
    </w:p>
    <w:p>
      <w:r>
        <w:t>L’appelante se prévaut de la nullité de la résiliation du bail qui lui a été signifiée le 19 juillet 2018. Elle se réfère une nouvelle fois à la prétendue absence de pouvoir de représentation de Me Guignard. En particulier, elle soutient que la résiliation du 19 juillet 2010 serait fondée sur une procuration qui n’engageait pas valablement Me Guignard puisque signée par D.________ seule. Or, selon l’appelante, Me Guignard n’aurait pas apporté la preuve que D.________ aurait été réélue en qualité de présidente, de sorte que la résiliation n’aurait pas pu être ratifiée par la procuration du 26 mai 2020 (recte : 19 mai 2020). Cette question a déjà été traitée dans le consid. 4.3 qui précède. Il ressort des pièces que D.________ est toujours présidente, de sorte que la procuration du 19 mai 2020 a valablement ratifié les actes du mandataire.</w:t>
      </w:r>
    </w:p>
    <w:p>
      <w:r>
        <w:rPr>
          <w:b/>
        </w:rPr>
        <w:t>E. 5.2.1</w:t>
      </w:r>
    </w:p>
    <w:p>
      <w:r>
        <w:t>Enfin, l'appelante fait valoir que les conditions d'application du cas clair ne sont pas réalisées. Elle se fonde encore une fois sur la question de l'absence de pouvoirs de représentation de Me Guignard.</w:t>
      </w:r>
    </w:p>
    <w:p>
      <w:r>
        <w:rPr>
          <w:b/>
        </w:rPr>
        <w:t>E. 5.2.2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623 consid. 5 ; TF 4A_415/2013 du 20 janvier 2014 consid. 6 ; CACI 4 juillet 2017/289 ; Colombini, CPC, Lausanne 2018, n. 6.2.2 ad art. 257 CPC). La requête d’expulsion en cas clair est recevable même lorsque le locataire a contesté la validité du congé et que la procédure en contestation est encore pendante. Le juge saisi en cas clair peut statuer à titre préjudiciel sur la validité du congé, sans devoir surseoir à statuer jusqu’à droit connu sur la procédure en contestation de la validité du congé (ATF 144 III 462 consid. 3.2.1 ; ATF 141 III 262 consid. 3 ; cf. Bohnet, Procédure en annulation du congé et cas clair en expulsion, Newsletter Bail.ch septembre 2015). Les conditions de l’art. 257 al. 1 CPC s’appliquent également à cette question préjudicielle (ATF 141 III 262 consid. 3.2 in fine ; ATF 142 III 515 consid. 2.2.4 in fine).</w:t>
      </w:r>
    </w:p>
    <w:p>
      <w:r>
        <w:rPr>
          <w:b/>
        </w:rPr>
        <w:t>E. 5.2.3</w:t>
      </w:r>
    </w:p>
    <w:p>
      <w:r>
        <w:t>En l’espèce, le premier juge a retenu qu’il ressortait de la proposition de jugement de la commission de conciliation que le congé notifié pour le 31 août 2019 était valable, un délai au 30 novembre 2019 étant imparti à l’appelante pour quitter les locaux. La locataire s’était certes opposée à cette proposition et avait saisi le Tribunal des baux. Néanmoins, sa demande avait été déclarée irrecevable et la cause avait été rayée du rôle, faute d’avoir payé l’avance de frais requise. Ainsi, le premier juge a retenu que la bailleresse était au bénéfice d’une proposition de jugement qui déployait les effets d’une décision entrée en force. La décision était ainsi revêtue de l’autorité de chose jugée, ce qui liait le juge et excluait un nouveau procès sur le même objet entre les mêmes parties. L’appelante n’ayant pas contesté l’état de fait sur ce point, se contentant de se déterminer sur les conditions des congés qui lui avaient été notifiés, le premier juge a retenu que les conditions du cas clair étaient manifestement remplies. Dans son appel, L.________ ne se détermine pas non plus sur ce qui précède, contrairement à son obligation de motivation de l’appel. Elle se borne à soulever une nouvelle fois le grief relatif à l’absence de pouvoirs de représentation de Me Guignard, sans aucunement critiquer l’analyse relative à l’autorité de chose jugée de la décision de la commission de conciliation. Son grief doit ainsi être rejeté dans la mesure de sa faible recevabilité.</w:t>
      </w:r>
    </w:p>
    <w:p>
      <w:r>
        <w:rPr>
          <w:b/>
        </w:rPr>
        <w:t>E. 6</w:t>
      </w:r>
    </w:p>
    <w:p>
      <w:r>
        <w:t>En définitive, l’appel, manifestement mal fondé, doit être rejeté (art. 312 al. 1 in fine CPC) et le jugement entrepris confirmé. Vu l’issue de l’appel, les frais judiciaires de deuxième instance, arrêtés à 770 fr. (art. 62 al. 1 TFJC [tarif des frais judiciaires civils du 28 septembre 2010 ; BLV 270.11.5]), seront mis à la charge de l’appelante L.________, qui succombe (art. 106 al. 1 CPC). Il n’y a pas lieu à l’allocation de dépens, l’intimée E.________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