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709 vom 29. Oktober 2020</w:t>
      </w:r>
    </w:p>
    <w:p>
      <w:r>
        <w:t>VD Tribunal cantonal, 2020-10-29, FR</w:t>
      </w:r>
    </w:p>
    <w:p>
      <w:r>
        <w:rPr>
          <w:b/>
        </w:rPr>
        <w:t xml:space="preserve">Quelle: </w:t>
      </w:r>
      <w:r>
        <w:t>https://mcp.opencaselaw.ch/entscheid/vd_findinfo_HC___2020___709</w:t>
      </w:r>
    </w:p>
    <w:p>
      <w:r>
        <w:t>FR: VD_FINDINFO HC / 2020 / 709 du 29 octobre 2020</w:t>
      </w:r>
    </w:p>
    <w:p>
      <w:r>
        <w:t>IT: VD_FINDINFO HC / 2020 / 709 del 29 ottobre 2020</w:t>
      </w:r>
    </w:p>
    <w:p>
      <w:pPr>
        <w:pStyle w:val="Heading2"/>
      </w:pPr>
      <w:r>
        <w:t>Regeste</w:t>
      </w:r>
    </w:p>
    <w:p>
      <w:r>
        <w:t>BAIL À FERME AGRICOLE, OBLIGATION D'ENTRETIEN, SOUS-LOCATION, RÉSILIATION, JUSTE MOTIF | 17 LBFA, 22 al. 3 LBFA, 22b let. b LBFA</w:t>
      </w:r>
    </w:p>
    <w:p>
      <w:pPr>
        <w:pStyle w:val="Heading2"/>
      </w:pPr>
      <w:r>
        <w:t>Erwägungen</w:t>
      </w:r>
    </w:p>
    <w:p>
      <w:r>
        <w:rPr>
          <w:b/>
        </w:rPr>
        <w:t>E. 1.1</w:t>
      </w:r>
    </w:p>
    <w:p>
      <w:r>
        <w:t>L'appel est dirigé contre un jugement rejetant la demande en constatation de la validité d'un congé donné dans le cadre d'un bail à ferme agricole.</w:t>
      </w:r>
    </w:p>
    <w:p>
      <w:r>
        <w:rPr>
          <w:b/>
        </w:rPr>
        <w:t>E. 1.2</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w:t>
      </w:r>
    </w:p>
    <w:p>
      <w:r>
        <w:rPr>
          <w:b/>
        </w:rPr>
        <w:t>E. 1.3</w:t>
      </w:r>
    </w:p>
    <w:p>
      <w:r>
        <w:t>En l'espèce, formé en temps utile par une partie qui y a un intérêt digne de protection (art. 59 al. 2 let. a CPC) et portant sur des conclusions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 et vérifie si le premier juge pouvait admettre les faits qu'il a retenus (ATF 138 III 374 consid. 4.3.1 ; TF 4A_238/2015 du 22 septembre 2015 consid. 2.2).</w:t>
      </w:r>
    </w:p>
    <w:p>
      <w:r>
        <w:rPr>
          <w:b/>
        </w:rPr>
        <w:t>E. 2.2</w:t>
      </w:r>
    </w:p>
    <w:p>
      <w:r>
        <w:t>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Lorsque — comme en l'espèce — un juge unique statue en première instance, on considère que les vrais nova sont des faits ou moyens de preuve nés après la clôture des débats principaux et que les faux nova (ou pseudo nova) sont des faits ou moyens de preuve nouveaux qui existaient déjà au moment de la clôture des débats principaux (cf. TF 5A_756/2017 du 6 novembre 2017 consid. 3.3).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 gence requise, ce qui implique notamment d'exposer précisément les raisons pour lesquelles le moyen de preuve n'a pas pu être produit en première instance (ATF 144 III 349 consid. 4.2.1 et les réf. citées). Il n'est pas admissible d'introduire en appel un vrai novum dans le but de prouver un fait qui, en faisant preuve de la diligence nécessaire, aurait déjà pu être présenté en première instance (pseudo novum ; TF 5A_756/2017 précité consid. 3.4).</w:t>
      </w:r>
    </w:p>
    <w:p>
      <w:r>
        <w:rPr>
          <w:b/>
        </w:rPr>
        <w:t>E. 2.3</w:t>
      </w:r>
    </w:p>
    <w:p>
      <w:r>
        <w:t>Les appelants ont produit de nombreuses pièces à l'appui de leur écriture, non numérotées et hors bordereau. Il ne ressort pas des moyens soulevés en appel que les appelants auraient eu connaissance de faits ou de moyens de preuve après la clôture des débats de première instance. En conséquence, ces pièces, produites en vrac, doivent être déclarées irrecevables.</w:t>
      </w:r>
    </w:p>
    <w:p>
      <w:r>
        <w:rPr>
          <w:b/>
        </w:rPr>
        <w:t>E. 3.1</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4A_593/2015 du 13 décembre 2016 consid. 5.1 ; TF 4A_37612016 du 2 décembre 2016 consid. 3.2.1 ; TF 4A_61/2016 du 10 mai 2016 consid. 4 ; TF 4A_580/2015 du 11 avril 2016 consid. 2.2, non publié à l'ATF 142 III 271 ; TF 5A_488/2015 du 21 août 2015 consid. 3.2.1, publié in RSPC 2015 p. 512 ; TF 4A_290/2014 du 1er septembre 2014 consid. 3.1, publié in RSPC 2015 p. 52 ; TF 5A_438/2012 du 27 août 2012 consid. 2.2).</w:t>
      </w:r>
    </w:p>
    <w:p>
      <w:r>
        <w:rPr>
          <w:b/>
        </w:rPr>
        <w:t>E. 3.2</w:t>
      </w:r>
    </w:p>
    <w:p>
      <w:r>
        <w:t>En l’espèce, d ans une partie intitulée « En faits » de l'acte d'appel, les appelants reprennent leur propre version des faits, sans exposer aucunement en quoi les faits retenus par le premier juge seraient erronés ou lacunaires, contrairement à leur devoir de motivation. Conformément à la jurisprudence susmentionnée, il n'y a dès lors pas lieu de tenir compte de cette partie de leur écriture d'appel, qui est irrecevable.</w:t>
      </w:r>
    </w:p>
    <w:p>
      <w:r>
        <w:rPr>
          <w:b/>
        </w:rPr>
        <w:t>E. 4.1</w:t>
      </w:r>
    </w:p>
    <w:p>
      <w:r>
        <w:t>Les appelants reprochent au premier juge de ne pas avoir retenu qu'il y avait un manquement à l'obligation d'exploitation ni un défaut d'entretien de la parcelle litigieuse. Le constat établi par huissier judiciaire le 19 octobre 2018 en attesterait, de même que les témoignages de W.________ et de N.________, selon lesquels la remise en état de la parcelle n° Q.________ a coûté 30'000 francs. Les appelants soutiennent également que le témoignage du garde forestier G.________ ne devrait quant à lui pas être retenu, dès lors que celui-ci ne fait que reprendre les déclarations de l'intimé et qu'il s'est rendu sur les lieux bien après que le défaut d'entretien avait été signalé par les appelants.</w:t>
      </w:r>
    </w:p>
    <w:p>
      <w:r>
        <w:rPr>
          <w:b/>
        </w:rPr>
        <w:t>E. 4.2</w:t>
      </w:r>
    </w:p>
    <w:p>
      <w:r>
        <w:t>Aux termes de l'art. 22 al. 3 LBFA, le fermier est tenu de pourvoir à ses frais au bon entretien de la chose affermée. Il est tenu de procéder, conformément à l'usage local, aux menues réparations et, en particulier, à l'entretien ordinaire des chemins, passerelles, fossés, digues, haies et clôtures, toitures, aqueducs, etc. Le bailleur peut résilier le bail par écrit, avec un délai de six mois, pour le terme de printemps ou d'automne suivant si, malgré la protestation ou la sommation écrites du bailleur, le fermier continue à ne pas respecter l'obligation d'entretien visée à l'art. 22 al. 3 (art. 22b let. b LBFA). La loi ne prévoit pas d'autres conditions, notamment l'existence d'un juste motif. La résiliation pour justes motifs est réglée à l'art. 17 LBFA, qui prévoit que si, du fait de circonstances graves, l'exécution du bail devient intolérable à l'une des parties, celle-ci peut résilier le bail par écrit, dans un délai de six mois, pour le terme de printemps ou d'automne suivant (art. 17 al. 1 LBFA). La disposition correspond aux art. 297 et 266g CO et on peut s'y référer pour l'interpréter (Tercier/Carron/Bieri, Les contrats spéciaux,</w:t>
      </w:r>
    </w:p>
    <w:p>
      <w:r>
        <w:rPr>
          <w:b/>
        </w:rPr>
        <w:t>E. 4.3</w:t>
      </w:r>
    </w:p>
    <w:p>
      <w:r>
        <w:t>Les appelants font valoir deux éléments à l'appui de leur constat selon lequel le fermier n'aurait pas respecté ses obligations d'entretien de la parcelle. Tout d'abord, ils se prévalent du fait que du matériel de chantier ait été entreposé sur le terrain et, d'autre part, qu'un arbre soit mort. Ils s'appuient principalement sur le constat d'huissier, dont le premier juge a tenu compte, et qui retient qu'une large bande de terre a été retournée sur la parcelle, que le chantier est bordé par des barrières, que du matériel y est entreposé (pelle mécanique, plots de béton, bétonnière, benne contenant des gravats de chantiers, caisses en bois, conduits, godets pour pelle mécanique, etc) et que l'herbe s'est arrêtée de pousser. Ce constat, établi le 15 octobre 2018 n'est toutefois plus d'actualité. En effet, il ressort des témoignages W.________ et de N.________ que l’endroit utilisé par V.________SA pour stocker son matériel de chantier a été remis en état à l’issue dudit chantier et W.________ a d’ailleurs précisé qu'un montant de 30'000 fr. avait été investi pour cette remise en état. Les appelants ne prétendent au demeurant pas que la parcelle aurait conservé des séquelles du chantier. Ainsi, le fait qu’une partie de la parcelle ait été temporairement utilisée à des fins d'entreposage de matériel pour le chantier voisin ne saurait être considéré comme une violation du devoir d'entretien de la parcelle – qui a retrouvé sa configuration initiale avant l'échéance du bail – ni comme un événement grave qui rendrait intolérable la poursuite des rapports contractuels, sous réserve du fait qu'il faille y voir un contrat de sous-location qui aurait été conclu en violation du contrat principal, ce qui sera examiné ci-dessous. S'agissant du cerisier, les appelants font grand cas du constat d'huissier qui mentionne qu'un arbre est mort, photo à l'appui. L'huissier mentionne encore que l'accès à l'arbre est rendu difficile par le chantier. Or il ressort de la photo produite en annexe du constat que l'arbre est de l'autre côté de la zone délimitée par le chantier. Par ailleurs, le garde-forestier a constaté que les arbres fruitiers de la parcelle étaient âgés de plus de cinquante ans et qu'ils n'apportaient aucune plus-value mais devaient être abattus en raison de leur dangerosité. Contrairement à ce que soutiennent les appelants, ce témoignage ne saurait être écarté au seul motif qu'il corrobore les déclarations de la partie adverse. Par ailleurs, si le garde-forestier s'est rendu sur la parcelle postérieurement aux comminations des appelants, cela ne l'empêche pas d'avoir un regard critique et professionnel sur l'évolution de l'arbre litigieux et les éventuelles causes de sa dégénérescence. Il a d'ailleurs déclaré n'avoir constaté aucune blessure sur le tronc ni sur les racines de l'arbre litigieux, ce qui prouve qu'il a été en mesure d'examiner si l'on pouvait considérer que le chantier litigieux avait causé la mort de l'arbre. Quoi qu'il en soit, on voit mal que la mort d'un cerisier de plus de cinquante ans, quelle que soit la cause de sa mort si, par impossible, il ne fallait pas considérer qu'il soit simplement mort de vieillesse, puisse être considérée comme le résultat d'une violation du devoir d'entretien du fermier ou qu'il en découle une impossibilité pour le bailleur de poursuivre les rapports contractuels.</w:t>
      </w:r>
    </w:p>
    <w:p>
      <w:r>
        <w:rPr>
          <w:b/>
        </w:rPr>
        <w:t>E. 5</w:t>
      </w:r>
    </w:p>
    <w:p>
      <w:r>
        <w:t>.1 Les appelants reprochent encore au premier juge d'avoir retenu que Z.________ avait connaissance de la sous-location de la parcelle par le propriétaire du chantier. Pour les appelants, il ne ressort pas des témoignages qu'ils auraient été informés par la société V.________SA de la requête d'entreposage de matériel sur une partie de la parcelle Q.________.</w:t>
      </w:r>
    </w:p>
    <w:p>
      <w:r>
        <w:rPr>
          <w:b/>
        </w:rPr>
        <w:t>E. 5.2</w:t>
      </w:r>
    </w:p>
    <w:p>
      <w:r>
        <w:t>A cet égard, les appelants ont une lecture partielle des témoignages. Interpellé sur l'allégué 25, qui est libellé comme suit : «V.________SA s'est ainsi adressée à la demanderesse Z.________ pour lui demander l'autorisation d'utiliser une surface de quelques centaines de m 2 située sur la parcelle Q.________ de Servion », le témoin W.________, administrateur de la société en question, a déclaré que c'était exact et le témoin N.________, contremaître, a précisé que c'était le directeur qui s’était chargé de prendre langue avec l’appelante et qu'il avait ensuite reçu un message de celui-ci afin qu'il contacte le fermier. Il peut dès lors être tenu pour constant que l'appelante Z.________ a été contactée par la société V.________SA et avait connaissance de la demande de la société précitée de pouvoir entreposer du matériel de chantier sur la parcelle dont l'intimé était locataire. En transmettant les coordonnées du fermier, l’intéressée a ainsi tacitement accepté la mise à disposition du terrain.</w:t>
      </w:r>
    </w:p>
    <w:p>
      <w:r>
        <w:rPr>
          <w:b/>
        </w:rPr>
        <w:t>E. 6.1</w:t>
      </w:r>
    </w:p>
    <w:p>
      <w:r>
        <w:t>Les appelants font encore valoir que le jugement attaqué aurait dû se référer au contrat de bail à ferme, objet de la résiliation anticipée, lequel contrat stipule dans son quatrième article que le fermier ne peut sous-affermer, ni sous-louer tout ou partie de l'objet du bail, ni l'échanger, ni le céder, ni procéder à des mises de fleuries, sans l'autorisation écrite du bailleur. Or en l'espèce, aucune autorisation n'aurait été délivrée par écrit.</w:t>
      </w:r>
    </w:p>
    <w:p>
      <w:r>
        <w:rPr>
          <w:b/>
        </w:rPr>
        <w:t>E. 6.2</w:t>
      </w:r>
    </w:p>
    <w:p>
      <w:r>
        <w:t>A cet égard, le premier juge a exposé de façon convaincante les motifs pour lesquels on ne pouvait pas retenir l’existence d’un contrat de sous-location, ce qui excluait l’existence d’un juste motif de résiliation du bail à ferme agricole. En effet, il ne ressort pas du dossier qu'il y ait eu un contrat de sous-location, dès lors que le fermier n'a pas encaissé de loyer de la part de V.________SA, ce qui ressort non seulement des déclarations des parties mais surtout du témoignage de W.________ qui a déclaré ne pas avoir reçu de facture pour l'entreposage de matériel mais avoir financé la remise en état. Le fait que l'intimé ait indiqué, dans un courrier du 5 décembre 2018 par l'intermédiaire de son assurance protection juridique, qu'aucune sous-location n'avait été encaissée ne saurait être interprété, comme semblent le soutenir les appelants, en ce sens qu'il s'agissait bien d'un contrat de sous-location mais sans contrepartie financière de la part du sous-locataire, dès lors que le loyer est précisément l’un des éléments constitutifs du contrat de bail. Enfin, il n’est pas contesté que le montant forfaitaire de 1'000 fr. perçu par l’intimé représentait un dédommagement pour la perte de récolte et les frais de réensemencement. Ce moyen, mal fondé, doit être rejeté.</w:t>
      </w:r>
    </w:p>
    <w:p>
      <w:r>
        <w:rPr>
          <w:b/>
        </w:rPr>
        <w:t>E. 7</w:t>
      </w:r>
    </w:p>
    <w:p>
      <w:r>
        <w:t>En définitive, l’appel, manifestement mal fondé, doit être rejeté (art. 312 al. 1 in fine CPC) et le jugement entrepris confirmé. Vu l’issue de l’appel, les frais judiciaires de deuxième instance, arrêtés à 900 fr. (art. 62 al. 1 TFJC [tarif des frais judiciaires civils du 28 septembre 2010 ; BLV 270.11.5]), seront mis à la charge des appelants Z.________, A.B.________ et B.B.________, solidairement entre eux, qui succombent (art. 106 al. 1 CPC). Il n’y a pas lieu à l’allocation de dépens, l’intimé X.________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