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642 vom 14. Oktober 2020</w:t>
      </w:r>
    </w:p>
    <w:p>
      <w:r>
        <w:t>VD Tribunal cantonal, 2020-10-14, FR</w:t>
      </w:r>
    </w:p>
    <w:p>
      <w:r>
        <w:rPr>
          <w:b/>
        </w:rPr>
        <w:t xml:space="preserve">Quelle: </w:t>
      </w:r>
      <w:r>
        <w:t>https://mcp.opencaselaw.ch/entscheid/vd_findinfo_HC___2020___642</w:t>
      </w:r>
    </w:p>
    <w:p>
      <w:r>
        <w:t>FR: VD_FINDINFO HC / 2020 / 642 du 14 octobre 2020</w:t>
      </w:r>
    </w:p>
    <w:p>
      <w:r>
        <w:t>IT: VD_FINDINFO HC / 2020 / 642 del 14 ottobre 2020</w:t>
      </w:r>
    </w:p>
    <w:p>
      <w:pPr>
        <w:pStyle w:val="Heading2"/>
      </w:pPr>
      <w:r>
        <w:t>Regeste</w:t>
      </w:r>
    </w:p>
    <w:p>
      <w:r>
        <w:t>MODIFICATION DES CIRCONSTANCES, JUGEMENT DE DIVORCE, OBLIGATION D'ENTRETIEN, ENFANT, REVENU HYPOTHÉTIQUE, CONCUBINAGE | 285 CC, 311 al. 1 CPC (CH)</w:t>
      </w:r>
    </w:p>
    <w:p>
      <w:pPr>
        <w:pStyle w:val="Heading2"/>
      </w:pPr>
      <w:r>
        <w:t>Erwägungen</w:t>
      </w:r>
    </w:p>
    <w:p>
      <w:r>
        <w:rPr>
          <w:b/>
        </w:rPr>
        <w:t>E. 1.1</w:t>
      </w:r>
    </w:p>
    <w:p>
      <w:r>
        <w:t>L'appel est recevable contre les décisions finales de première instance dans les affaires patrimoniales dont la valeur litigieuse au dernier état des conclusions s'élève à 10'000 fr. au moins (art. 308 al. 1 let. a et al.</w:t>
      </w:r>
    </w:p>
    <w:p>
      <w:r>
        <w:rPr>
          <w:b/>
        </w:rPr>
        <w:t>E. 1.2</w:t>
      </w:r>
    </w:p>
    <w:p>
      <w:r>
        <w:t>En l'espèce, formé en temps utile, par une partie qui a un intérêt digne de protection (art. 59 al. 2 let. a CPC), dans une cause patrimoniale dont la valeur litigieuse est supérieure à 10'000 fr., l’appel est recevable.</w:t>
      </w:r>
    </w:p>
    <w:p>
      <w:r>
        <w:rPr>
          <w:b/>
        </w:rPr>
        <w:t>E. 2</w:t>
      </w:r>
    </w:p>
    <w:p>
      <w:r>
        <w:t>CPC) sont applicables. Les parties peuvent ainsi présenter des faits et moyens de preuve nouveaux en appel même si les conditions de l'art. 317 al. 1 CPC ne sont pas réunies (ATF 144 III 349 consid. 4.2.1). De plus, l’instance d’appel peut ordonner d'office l'administration de tous les moyens de preuve propres et nécessaires à établir les faits pertinents pour rendre une décision conforme à l'intérêt de l'enfant (art. 316 al. 3 CPC ;  ATF 128 III 411 consid. 3.2.1 ; TF 5A_528/2015 du 21 janvier 2016 consid. 2 ; TF 5A_876/2014 du 3 juin 2015 consid. 4.3.3). A l’appui de son écriture, l’appelant a produit un onglet de trois pièces. Deux pièces sont dites de forme, tandis que la troisième a déjà été produite en première instance (pièce 122), de sorte qu’elles sont toutes recevables.</w:t>
      </w:r>
    </w:p>
    <w:p>
      <w:r>
        <w:rPr>
          <w:b/>
        </w:rPr>
        <w:t>E. 2.1</w:t>
      </w:r>
    </w:p>
    <w:p>
      <w:r>
        <w:t>L'appel peut être formé pour violation du droit ou pour constatation inexacte des faits (art. 310 CPC). Il offre à l'autorité de deuxième instance un plein pouvoir d'examen (Jeandin, Commentaire romand, Code de procédure civile, Bâle 2019, 2 e éd.,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p. 134). Elle peut revoir librement la constatation des faits sur la base des preuves administrées en première instance (Tappy, op. cit., JdT 2010 III 135).</w:t>
      </w:r>
    </w:p>
    <w:p>
      <w:r>
        <w:rPr>
          <w:b/>
        </w:rPr>
        <w:t>E. 2.2</w:t>
      </w:r>
    </w:p>
    <w:p>
      <w:r>
        <w:t>S’agissant des questions relatives aux enfants, la maxime inquisitoire illimitée (art. 296 al. 1 CPC) et, en sus, la maxime d'office (art. 296 al.</w:t>
      </w:r>
    </w:p>
    <w:p>
      <w:r>
        <w:rPr>
          <w:b/>
        </w:rPr>
        <w:t>E. 3.1</w:t>
      </w:r>
    </w:p>
    <w:p>
      <w:r>
        <w:t>L’appelant reproche au jugement querellé de ne pas avoir retenu que l’intimée formerait un concubinage qualifié avec le père de son nouvel enfant. L’appelant soutient que les enfants communs lui auraient affirmé le contraire, qu’au moment du divorce l’intimée faisait d’ailleurs ménage commun avec un tiers et qu’elle aurait tout intérêt à contester le concubinage, ce qui lui permettrait de toucher des allocations PC Familles . Dans le même ordre d’idées, l’appelant critique le jugement en tant qu’il a précisé ce qui suit : « Même en admettant un ménage commun, ses charges [réd. : celles de l’intimée] seraient réduites de 723 fr., soit 373 fr. 80 (747 fr. 60 / 2) sur le loyer et 350 (1'200 fr. - 850) sur la base mensuelle, ce qui laisserait certes un disponible de l'ordre 250 fr., mais sur le budget de la défenderesse seulement ; ce disponible ne permettrait que de couvrir sa part aux frais du dernier enfant K.________ ». Selon l’appelant, ce raisonnement violerait le droit fédéral, en particulier le principe de l'égalité de traitement entre les enfants.</w:t>
      </w:r>
    </w:p>
    <w:p>
      <w:r>
        <w:rPr>
          <w:b/>
        </w:rPr>
        <w:t>E. 3.2.1</w:t>
      </w:r>
    </w:p>
    <w:p>
      <w:r>
        <w:t>Selon l’art. 311 al. 1 CPC, l’appel doit être motivé, soit démontrer le caractère erroné de la motivation attaquée. L’appelant doit expliquer en quoi son argumentation peut influer sur la solution retenue par les premiers juges (TF 4A_474/2013 du 10 mars 2014 consid. 3.1, SJ 2014 I 459 ; TF 5A_438/2012 du 27 août 2012 consid. 2.2, in RSPC 2013 p. 29 ; TF 4A_659/2011 du 7 décembre 2011 consid. 3 et 4, SJ 2012 I 131, in RSPC 2012 p. 128 ; Colombini, CPC Condensé de jurisprudence, Lausanne 2018, n. 8.2.1 ad art. 311 CPC, p. 962).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 TF 5A_573/2017 du 19 octobre 2017 consid. 3.1 ; ibid, n. 8.2.1 ad art. 311 CPC, p. 962). L’appelant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ne contient que des critiques toutes générales et superficielles de la décision attaquée, elle ne satisfait pas aux exigences de l’art. 311 al. 1 CPC et l’instance d’appel ne peut entrer en matière (TF 4A_290/2014 du 1 er septembre 2014 consid. 3.1, RSPC 2015 p. 52 ; TF 5A_488/2015 du 21 août 2015 consid 3.2.1, RSPC 2015 p. 512 ; TF 4A_ 580/2015 du 11 avril 2016 consid. 2.2, non publié à l’ATF 142 III 271 ; TF 4A_ 376/2016 du 2 décembre 2016 consid 3.2.1 ; TF 4A_ 593/2015 du 13 décembre 2016 consid 5.1 ; TF 4A_218/2017 du 14 juillet 2017 consid. 3.1.2 ; ibid., n. 8.2.1 ad art. 311 CPC, p. 963).</w:t>
      </w:r>
    </w:p>
    <w:p>
      <w:r>
        <w:rPr>
          <w:b/>
        </w:rPr>
        <w:t>E. 3.2.2</w:t>
      </w:r>
    </w:p>
    <w:p>
      <w:r>
        <w:t>Selon la jurisprudence, il faut entendre par concubinage qualifié (ou concubinage stable) une communauté de vie d'une certaine durée entre deux personnes de sexe opposé, à caractère en principe exclusif, qui présente une composante tant spirituelle que corporelle et économique, et qui est parfois également désignée comme communauté de toit, de table et de lit ; le juge doit dans tous les cas procéder à une appréciation de tous les facteurs déterminants, étant précisé que la qualité d'une communauté de vie s'évalue au regard de l'ensemble des circonstances de la vie commune (ATF 118 II 235 consid. 3b ; ATF 124 III 52 consid. 2a/aa et les réf. citées, JdT 1999 I 168 ; TF 5C.265/2002 du 1er avril 2003 consid. 2.4 non publié aux ATF 129 III 257). Le Tribunal fédéral a posé la présomption – réfragable – qu'un concubinage est qualifié lorsqu'il dure depuis cinq ans (ATF 118 II 235 consid. 3a ; ATF 114 II 295 consid. 1c). L'existence ou non d'un concubinage qualifié ne dépend pas des moyens financiers des concubins, mais de leurs sentiments mutuels et de l'existence d'une communauté de destins (ATF 124 III 52 consid. 2a/aa, JdT 1999 I 168 ; TF 5A 760/2012 du 27 février 2013 consid. 5.1.2.1). Malgré la présomption réfragable posée par la jurisprudence d'un concubinage qualifié lorsqu'il dure depuis plus de cinq ans, la preuve complète doit être apportée qu'il s'agit d'une relation assimilable à un mariage, car le droit fédéral ne prévoit aucun allègement du fardeau de la preuve ; le demandeur débirentier ne satisfait pas à ce devoir en se bornant à alléguer que la défenderesse partage son habitation avec une personne du sexe opposé et qu'elle a créé l'apparence d'une communauté de vie semblable au mariage (ATF 118 II 235 consid. 3).</w:t>
      </w:r>
    </w:p>
    <w:p>
      <w:r>
        <w:rPr>
          <w:b/>
        </w:rPr>
        <w:t>E. 3.3</w:t>
      </w:r>
    </w:p>
    <w:p>
      <w:r>
        <w:t>En l’espèce, l'appelant se borne à répéter sa version des faits, sans prendre réellement position sur l'appréciation des preuves opérée par le tribunal. Pour autant que son grief soit recevable au regard de l'exigence de motivation de l'appel, il doit de toute manière être rejeté pour les raisons qui suivent. L'appelant n'apporte en effet aucun élément permettant de considérer que les premiers juges auraient fait une mauvaise appréciation des éléments figurant au dossier, notamment de l'attestation d'établissement du père du dernier enfant de l'intimée, qui fait état d'un domicile séparé. A cet égard, il n’est pas suffisant de se référer aux déclarations qu’auraient faites les enfants des parties. C'est à l'appelant qu'il incombait de faire la preuve d'un concubinage. Cette preuve n'ayant pas été apportée, c’est à juste titre que les premiers juges n’ont pas retenu le concubinage allégué par l'appelant et qu’ils ont établi le budget de l’intimée sans opérer de partage des charges avec un hypothétique concubin. S’agissant de la critique de la motivation du jugement de première instance prenant pour hypothèse un concubinage de l’intimée, l’argument de l’appelant est vain. La question ne se pose en effet pas, puisque le ménage commun de l’intimée et du père de son dernier enfant n’est pas établi.</w:t>
      </w:r>
    </w:p>
    <w:p>
      <w:r>
        <w:rPr>
          <w:b/>
        </w:rPr>
        <w:t>E. 4.1</w:t>
      </w:r>
    </w:p>
    <w:p>
      <w:r>
        <w:t>L’appelant soutient qu’en l’absence de ménage commun avec le père de son plus jeune enfant, l'intimée devrait exiger de celui-ci une participation à son déficit. La solution retenue par les premiers juges reviendrait en effet à faire supporter à l'appelant la naissance du nouvel enfant de l'intimée. Il faudrait donc retenir « en quelque sorte un revenu putatif à la mère consistant dans la créance qu'elle [aurait] contre le père du nouvel enfant et qu'elle n'[aurait] donc pas un manco de fr. 409.-, montant qui [serait] largement couvert par sa créance contre le nouveau père ». Selon l’appelant, l'intimée n'aurait en outre jamais allégué l'impossibilité de son nouveau compagnon à fournir une contribution d'entretien. Si l’on comprend bien les arguments de l’appelant, il semble soutenir l'imputation d'un revenu hypothétique à la mère.</w:t>
      </w:r>
    </w:p>
    <w:p>
      <w:r>
        <w:rPr>
          <w:b/>
        </w:rPr>
        <w:t>E. 4.2.1</w:t>
      </w:r>
    </w:p>
    <w:p>
      <w:r>
        <w:t>La contribution d’entretien en faveur de l’enfant doit être arrêtée conformément aux principes dégagés de l’art. 285 CC. La doctrine préconise de procéder d'abord au calcul des coûts directs de l'enfant, puis de déterminer le minimum vital du parent gardien. Si ce parent accuse un déficit, celui-ci devra être réparti entre les enfants et constituera la contribution de prise en charge (Guillod, La détermination de l’entretien de l’enfant, in Bohnet/Dupont [éd.], Le nouveau droit de l’entretien de l’enfant et du partage de la prévoyance, 2016, n. 46 ss et les réf. Citées ; Hausheer/Spycher, Handbuch des Unterhaltsrechts, 2 e éd., 2010, pp. 163 ss ; Bähler, Unterhaltsberechnungen – von des Methode zu den Franken, in FamPra.ch 1/2015 pp. 271ss, spéc. pp. 322 ss). L’addition des coûts directs de l’enfant – éventuellement pondérés en fonction de la prise en charge effective de chaque parent – et de la contribution de prise en charge constituera le montant dû au titre de contribution d’entretien pour l’enfant. Au final, si après paiement de la contribution d’entretien due pour les enfants mineurs, un disponible subsiste, celui-ci devra être réparti entre les conjoints.</w:t>
      </w:r>
    </w:p>
    <w:p>
      <w:r>
        <w:rPr>
          <w:b/>
        </w:rPr>
        <w:t>E. 4.2.2</w:t>
      </w:r>
    </w:p>
    <w:p>
      <w:r>
        <w:t>En principe, le juge prend en compte le revenu effectif des parties (ATF 143 III 233, consid. 3.2, JdT 2017 II 455 ; TF, 5A_608/2019 du 16 janvier 2020, consid. 4.2.1). Il peut toutefois s'en écarter et retenir en lieu et place, dans toutes les causes matrimoniales, un revenu hypothétique plus élevé, dans la mesure où l'un des époux ou l'un des parents pourrait le réaliser en faisant preuve de bonne volonté (ATF 128 III 4 consid. 4, JdT 2002 I 294, SJ 2002 I 175 ; TF, 5A 676/2019 du 12 mars 2020 consid. 3.2 ; TF, 5A_592/2018 du 13 février 2019, consid. 3.1). Selon la jurisprudence désormais bien établie du Tribunal fédéral, il peut être exigé d'un parent se consacrant à la prise en charge des enfants qu'il recommence à travailler, en principe à 50 % dès l'entrée du plus jeune enfant à l'école obligatoire, à 80 % à partir du moment où celui-ci débute le degré secondaire et à 100 % dès la fin de sa seizième année (ATF 144 III 481 consid. 4.7.6, JdT 2019 II 179 ; TF 5A_462/2019 du 29 janvier 2020 consid. 5.3.1 ; TF 5A 608/2019 du 16 janvier 2020 consid. 4.1.1 ; TF 5A_329/2019 du 25 octobre 2019 consid. 3.3.1.2 ; TF 5A_963/2018 du 23 mai 2019 consid. 3.3.2 ; TF 5A_743/2017 du 22 mai 2019 consid. 5.3.2).</w:t>
      </w:r>
    </w:p>
    <w:p>
      <w:r>
        <w:rPr>
          <w:b/>
        </w:rPr>
        <w:t>E. 4.3</w:t>
      </w:r>
    </w:p>
    <w:p>
      <w:r>
        <w:t>En l’espèce, l'appelant semble confondre la répartition des coûts directs des enfants et la contribution de prise en charge. L'appelant a certes raison de soutenir que ce n'est pas à lui d'assumer financièrement le déficit de la mère des enfants. Cependant, il perd de vue qu'en réalité, le jugement ne l'astreint pas à couvrir le déficit de l’intimée, puisqu'aucune contribution de prise en charge n’a été mise à la charge de l’appelant. L'appelant soutient sans doute à raison que l'intimée pourrait prétendre à ce que son déficit soit assumé par le père de son nouvel enfant ; cela n'est toutefois pas l'objet de la présente procédure. En outre, même si le père du nouvel enfant de l’intimée couvrait le déficit de l’intéressée, cela ne conférerait toujours pas à celle-ci un disponible qu'elle pourrait affecter à l'entretien du fils aîné des parties. Il faut enfin souligner que le père du plus jeune enfant de l’intimée n'a aucune obligation d'entretien à l'égard des enfants communs des parties. S’agissant d’une éventuelle augmentation du taux d’activité de l’intimée, même en l'absence de l’enfant K.________, né le [...] 2019, on ne pourrait exiger de celle-ci une activité professionnelle à un taux supérieur à celui de 50 % qu'elle assume déjà, en raison de l'âge, respectivement de la scolarisation de l'enfant commun D.J.________, né le [...] 2009. L'appelant n'invoque par ailleurs aucune circonstance qui justifierait de déroger à la ligne directrice posée par la jurisprudence du Tribunal fédéral. Il n'y a donc pas lieu d'imputer un revenu hypothétique à l'intimée et la répartition des coûts directs doit être déterminée en fonction des revenus effectifs des parties (cf. consid. 5 ci-dessous).</w:t>
      </w:r>
    </w:p>
    <w:p>
      <w:r>
        <w:rPr>
          <w:b/>
        </w:rPr>
        <w:t>E. 5.1</w:t>
      </w:r>
    </w:p>
    <w:p>
      <w:r>
        <w:t>Sur la base des arguments examinés ci-dessus (cf. consid. 3 et 4), l’appelant soutient que l’intimée devrait être astreinte à contribuer au moins en partie à l’entretien de leur fils aîné, alors même que la contribution d’entretien de l’appelant en faveur du fils cadet a été entièrement maintenue.</w:t>
      </w:r>
    </w:p>
    <w:p>
      <w:r>
        <w:rPr>
          <w:b/>
        </w:rPr>
        <w:t>E. 5.2</w:t>
      </w:r>
    </w:p>
    <w:p>
      <w:r>
        <w:t>Selon la doctrine et la jurisprudence constante, si la capacité financière du parent gardien est sensiblement plus importante que celle de l'autre, il n'est pas critiquable de lui laisser la charge d'entretenir les enfants, au moins partiellement, par des prestations pécuniaires, en sus des soins et de l'éducation (notamment : ATF 134 III 337 consid. 2.2.2 ; TF 5A_727/2018 du 22 août 2019 consid. 4.3.2.2 ; TF 5A_339/2018 du 8 mai 2019 consid. 5.4.3 ; TF 5A_583/2018 du 18 janvier 2019 consid. 5.1 ; TF 5A_584/2018 du 10 octobre 2018 consid. 4.3 ; TF 5A_119/2017 du 30 août 2017 consid. 7.1 ; TF 5A_96/2017 du 20 juillet 2017 consid. 4.1 ; TF 5A_85/2017 du 19 juin 2017 consid. 6.1 ; TF 5A_134/2016 du 18 juillet 2016 consid. 3 ; TF 5A_386/2012 du 23 juillet 2012 consid. 4.2.1 ; TF 5A_462/2010 du 24 octobre 2011 consid. 4.2, non publié in ATF 137 III 586 ; cf. aussi TF 5C.125/1994 du 12 septembre 1994 consid. 5, non publié in ATF 120 II 280, et les auteurs cités ; pour le nouveau droit : Schweighauser, in FamKommentar Scheidung, vol. I, 3 e éd. 2017, n. 45 ad art. 285 CC). En outre, en vertu du droit à des conditions minimales d'existence garanti par l'art. 12 Cst. (ATF 121 I 367 consid. 2), l'obligation d'entretien trouve toujours sa limite dans la capacité contributive du débirentier, en ce sens que le minimum vital de celui-ci selon le droit des poursuites doit être préservé (ATF 144 III 502 consid. 6.7 ; ATF 141 III 401 consid. 4.1 ; ATF 140 III 337 consid. 4.3, JdT 2015 II 227 ; ATF 137 III 59 consid. 4.2.1, JdT 2011 II 359, SJ 2011 I 221 ; TF 5A_254/2019 du 18 juillet 2019 consid. 3.1).</w:t>
      </w:r>
    </w:p>
    <w:p>
      <w:r>
        <w:rPr>
          <w:b/>
        </w:rPr>
        <w:t>E. 5.3</w:t>
      </w:r>
    </w:p>
    <w:p>
      <w:r>
        <w:t>En l'espèce, l'appelant ne conteste pas qu'il bénéficie mensuellement d'un disponible de plus de 2'000 francs. Bien plus, une erreur de calcul étant intervenue dans le calcul des charges opéré dans le jugement, le budget de l’appelant présente en réalité un solde positif de 2'721 fr. 35 (4'979 fr. 30 - 2'257 fr. 95). De son côté, l'intimée ne dispose d'aucun disponible par rapport à son minimum vital au sens du droit des poursuites. Dans ces circonstances, l'intimée n'est pas en mesure de contribuer financièrement à l'entretien de l’aîné des enfants. Il en découle que c’est à juste titre que les premiers juges ont considéré que l'entretien de cet enfant devait être assumé par l'appelant, qui dispose de moyens amplement suffisants à cette fin, tout en continuant à verser les pensions prévues par le jugement de divorce en faveur du cadet des enfants. Le grief doit être rejeté.</w:t>
      </w:r>
    </w:p>
    <w:p>
      <w:r>
        <w:rPr>
          <w:b/>
        </w:rPr>
        <w:t>E. 6</w:t>
      </w:r>
    </w:p>
    <w:p>
      <w:r>
        <w:t>Dans ses conclusions, l’appelant a requis que l’intimée lui verse des dépens de première instance, sans toutefois motiver ce grief. Si tant est que cette conclusion soit recevable (cf. consid. 3.2.1 ci-dessus), il faudrait en déduire que l’allocation de dépens découlerait de l’admission de l’appel sur les questions de fond. Dans la mesure où les griefs de l’appelant sont entièrement rejetés, il n’y a pas lieu de modifier la répartition des frais opérée par les premiers juges.</w:t>
      </w:r>
    </w:p>
    <w:p>
      <w:r>
        <w:rPr>
          <w:b/>
        </w:rPr>
        <w:t>E. 7.1</w:t>
      </w:r>
    </w:p>
    <w:p>
      <w:r>
        <w:t>En définitive, l’appel, manifestement mal fondé (cf. art. 312 al. 1 CPC), doit être rejeté et le jugement querellé confirmé.</w:t>
      </w:r>
    </w:p>
    <w:p>
      <w:r>
        <w:rPr>
          <w:b/>
        </w:rPr>
        <w:t>E. 7.2</w:t>
      </w:r>
    </w:p>
    <w:p>
      <w:r>
        <w:t>Les frais judiciaires de deuxième instance arrêtés à 600 fr. (art. 63 al. 1 TFJC [tarif des frais judiciaires civils du 28 septembre 2010 ; BLV 270.11.5]), sont mis à la charge de l’appelant, qui succombe (art. 106 al. 1 CPC), et provisoirement laissés à la charge de l’Etat (art. 122 CPC).</w:t>
      </w:r>
    </w:p>
    <w:p>
      <w:r>
        <w:rPr>
          <w:b/>
        </w:rPr>
        <w:t>E. 7.3</w:t>
      </w:r>
    </w:p>
    <w:p>
      <w:r>
        <w:t>Le conseil de l’appelant a indiqué dans sa liste d'opérations avoir consacré 5 heures et 35 minutes au dossier. Vu la nature du litige et les difficultés de la cause, il y a lieu d’admettre ce nombre d'heures. Il s'ensuit qu'au tarif horaire de 180 fr. (art. 2 al. 1 let. a et b RAJ [règlement sur l’assistance judiciaire en matière civile du 7 décembre 2010 ; BLV 211.02.3), l’indemnité d’office de Me Laurent Gilliard doit être fixée à 1'005 fr., montant auquel s’ajoutent les débours par 20 fr. 10 (2 % de 1'005 fr. [art. 3bis al. 1 RAJ]) et la TVA par 7,7 % sur le tout par 78 fr. 95, soit 1'104 fr. 05 au total, montant qui peut être arrondi à 1'105 francs. Le bénéficiaire de l’assistance judiciaire est, dans la mesure de l’art. 123 CPC, tenu au remboursement des frais judiciaires et de l’indemnité du conseil d’office mis à la charge de l’Etat.</w:t>
      </w:r>
    </w:p>
    <w:p>
      <w:r>
        <w:rPr>
          <w:b/>
        </w:rPr>
        <w:t>E. 7.4</w:t>
      </w:r>
    </w:p>
    <w:p>
      <w:r>
        <w:t>L’intimée n’ayant pas été invitée à se déterminer sur l’appel, il n’y a pas matière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