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602 vom 8. Januar 2021</w:t>
      </w:r>
    </w:p>
    <w:p>
      <w:r>
        <w:t>VD Tribunal cantonal, 2021-01-08, FR</w:t>
      </w:r>
    </w:p>
    <w:p>
      <w:r>
        <w:rPr>
          <w:b/>
        </w:rPr>
        <w:t xml:space="preserve">Quelle: </w:t>
      </w:r>
      <w:r>
        <w:t>https://mcp.opencaselaw.ch/entscheid/vd_findinfo_HC___2020___602</w:t>
      </w:r>
    </w:p>
    <w:p>
      <w:r>
        <w:t>FR: VD_FINDINFO HC / 2020 / 602 du 8 janvier 2021</w:t>
      </w:r>
    </w:p>
    <w:p>
      <w:r>
        <w:t>IT: VD_FINDINFO HC / 2020 / 602 del 8 gennaio 2021</w:t>
      </w:r>
    </w:p>
    <w:p>
      <w:pPr>
        <w:pStyle w:val="Heading2"/>
      </w:pPr>
      <w:r>
        <w:t>Regeste</w:t>
      </w:r>
    </w:p>
    <w:p>
      <w:r>
        <w:t>DIVORCE, OBLIGATION D'ENTRETIEN, ENFANT, CONJOINT, REVENU HYPOTHÉTIQUE | 125 al. 1 CC, 125 al. 2 CC, 276a al. 1 CC, 285 CC</w:t>
      </w:r>
    </w:p>
    <w:p>
      <w:pPr>
        <w:pStyle w:val="Heading2"/>
      </w:pPr>
      <w:r>
        <w:t>Erwägungen</w:t>
      </w:r>
    </w:p>
    <w:p>
      <w:r>
        <w:rPr>
          <w:b/>
        </w:rPr>
        <w:t>E. 1</w:t>
      </w:r>
    </w:p>
    <w:p>
      <w:r>
        <w:t>heure au total. En effet, lesdits courriers correspondent aux lettres d’accompagnement de l’appel et de la réponse, qui ne contenaient aucune indication particulière et s’apparentent dès lors à de simples envois de transmission relevant d’un travail de secrétariat qui fait partie des frais généraux de l’avocat couverts par le tarif horaire applicable (Juge délégué CACI 2 octobre 2017/437 consid. 7.1 ; CREC 18 août 2017/310 consid. 5.3 ; CREC 14 septembre 2015/332 consid. 3.2 ; CREC 3 septembre 2014/312 consid. 3c). Quant à l’élaboration des bordereaux de pièces, cette opération relève également d’un travail de secrétariat (Juge délégué CACI 2 octobre 2017/437 consid. 7.1 ; CACI 29 juin 2017/277 consid. 4.3 et les références citées). Le temps consacré à la rédaction de la réponse à l’appel, revendiqué à hauteur de 3 heures (opération du 14 février 2020), est excessif compte tenu des griefs soulevés par l’appelante. Une durée admissible de 2 heures sera retenue pour la confection de cette écriture. Le temps consacré à la rédaction de l’écriture spontanée du 14 mai 2020, à savoir 2 heures et 30 minutes, est également excessif. En effet, l’appelant s’est contenté de récapituler ses charges, ainsi que celles de l’enfant et de l’appelante, en se fondant principalement sur les montants retenus par le juge délégué dans son ordonnance de mesures provisionnelles du 28 février 2020 et en faisant valoir quelques éléments nouveaux. Le conseil d’office n’aurait ainsi pas dû consacrer plus de 1 heure et 30 minutes à l’élaboration de cette écriture, étant précisé que la confection du bordereau de pièces produit à l’appui de celle-ci n’a pas à être rémunérée pour les motifs déjà indiqués. Le temps consacré à l’opération « Courrier TC » comptabilisée le 20 octobre 2020 à raison de 2 heures et 30 minutes s’avère aussi excessif au vu du contenu de celui-ci. En effet, il s’agit du courrier d’accompagnement des pièces requises le 5 octobre 2020, dans lequel l’appelant explicite les faits nouveaux invoqués en lien avec sa nouvelle activité professionnelle. Une durée adéquate de 1 heure sera retenue pour cette écriture. Enfin, il convient de rémunérer la rédaction de l’écriture spontanée du 17 novembre 2020 et des déterminations du 1 er décembre 2020, qui ne sont pas mentionnées dans la liste des opérations, à raison de 35 minutes au total. Il sera ainsi retenu un temps admissible consacré au dossier de 23 heures et 45 minutes (30h40 - 3h00 - 1h00 - 1h00 - 1h00 - 1h30 + 0h35). S’agissant des débours, on rappellera que pour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l’indemnité d’office de Me Diserens doit être fixée à 4'275 fr., montant auquel s’ajoutent les débours par 85 fr. 50 (2% de 4'275 fr.), le forfait de vacation par 120 fr. (art. 3bis al. 3 RAJ) et la TVA sur le tout par 345 fr., soit à 4'825 fr. 50 au total. Cette indemnité ne sera entièrement versée par l’Etat que si les dépens alloués à l’appelant (cf. supra consid. 16.3.2) ne peuvent pas être perçus de l’appelante (art. 122 al. 2 CPC et 4 RAJ). 16.4.3 Le conseil d’office de l’appelante a indiqué dans sa liste des opérations du 29 octobre 2020 avoir consacré 15 heures et 35 minutes au dossier et a revendiqué des débours de 849 fr. 40 au total. Vu la nature du litige et les difficultés de la cause, le temps consacré au dossier peut être admis, étant précisé qu’il convient d’y ajouter une durée de 25 minutes pour l’élaboration des déterminations du 12 novembre 2020, qui ont été adressées postérieurement à la lise des opérations. En revanche, les débours revendiqués s’avèrent supérieurs au forfait de 2% prévu par l’art. 3bis al. 1 RAJ. Dès lors que le conseil d’office ne fait valoir aucune circonstance exceptionnelle qui pourrait justifier d’arrêter les débours à un montant supérieur, ni ne présente une liste accompagnée de justificatifs de paiement (cf. art. 3bis al. 4 RAJ), les débours seront rémunérés selon le forfait précité. Un forfait de vacation de 120 fr. (art. 3bis al. 3 RAJ) pour l’audience du 28 février 2020 sera comptabilisé en sus. Il s’ensuit qu’au tarif horaire de 180 fr., l’indemnité d’office de Me Posse doit être fixée à 2'880 fr., montant auquel s’ajoutent les débours par 57 fr. 60 (2% de 2'880 fr.), le forfait de vacation par 120 fr. et la TVA sur le tout par 235 fr. 45, soit à 3'293 fr. 05 au total. 16.5 Les parties, bénéficiaires de l’assistance judiciaire, sont, dans la mesure de l’art. 123 CPC, tenues au remboursement des frais judiciaires et des indemnités à leurs conseils d’office respectifs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