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 vom 17. Dezember 2019</w:t>
      </w:r>
    </w:p>
    <w:p>
      <w:r>
        <w:t>VD Tribunal cantonal, 2019-12-17, FR</w:t>
      </w:r>
    </w:p>
    <w:p>
      <w:r>
        <w:rPr>
          <w:b/>
        </w:rPr>
        <w:t xml:space="preserve">Quelle: </w:t>
      </w:r>
      <w:r>
        <w:t>https://mcp.opencaselaw.ch/entscheid/vd_findinfo_HC___2020___6</w:t>
      </w:r>
    </w:p>
    <w:p>
      <w:r>
        <w:t>FR: VD_FINDINFO HC / 2020 / 6 du 17 décembre 2019</w:t>
      </w:r>
    </w:p>
    <w:p>
      <w:r>
        <w:t>IT: VD_FINDINFO HC / 2020 / 6 del 17 dicembre 2019</w:t>
      </w:r>
    </w:p>
    <w:p>
      <w:pPr>
        <w:pStyle w:val="Heading2"/>
      </w:pPr>
      <w:r>
        <w:t>Regeste</w:t>
      </w:r>
    </w:p>
    <w:p>
      <w:r>
        <w:t>VOCATION SUCCESSORALE, HÉRITIER LÉGAL, FILIATION, REGISTRE DE L'ÉTAT CIVIL | 252 CC, 42 CC, 457 CC</w:t>
      </w:r>
    </w:p>
    <w:p>
      <w:pPr>
        <w:pStyle w:val="Heading2"/>
      </w:pPr>
      <w:r>
        <w:t>Erwägungen</w:t>
      </w:r>
    </w:p>
    <w:p>
      <w:r>
        <w:rPr>
          <w:b/>
        </w:rPr>
        <w:t>E. 1.1</w:t>
      </w:r>
    </w:p>
    <w:p>
      <w:r>
        <w:t>En matière de dévolution successorale, le droit fédéral laisse aux cantons la latitude de choisir entre une autorité administrative et un juge, ainsi que de fixer la procédure (Exposé des motifs ad CDPJ,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Les litiges gracieux se règlent selon la procédure sommaire de l'art. 248 let. e CPC, de sorte que seul le recours limité au droit de l'art. 109 al.</w:t>
      </w:r>
    </w:p>
    <w:p>
      <w:r>
        <w:rPr>
          <w:b/>
        </w:rPr>
        <w:t>E. 1.2</w:t>
      </w:r>
    </w:p>
    <w:p>
      <w:r>
        <w:t>En l’espèce, la voie du recours est ouverte contre la décision litigieuse, laquelle a été rendue dans le cadre d’un dossier successoral. Cela étant, le recours, écrit et motivé, a été formé en temps utile. M.________ a en outre un intérêt digne de protection à recourir (art. 59 al. 2 let. a CPC), dans la mesure où elle est personnellement visée par la décision qu’elle conteste.</w:t>
      </w:r>
    </w:p>
    <w:p>
      <w:r>
        <w:rPr>
          <w:b/>
        </w:rPr>
        <w:t>E. 1.3</w:t>
      </w:r>
    </w:p>
    <w:p>
      <w:r>
        <w:t>Le recours doit contenir des conclusions au fond (Jeandin, in Bohnet et al. [éd.], Commentaire romand, Code de procédure civile, 2 e éd., 2019, [ci-après : CR-CPC], n. 5 ad art. 321 CPC), soit l’exposé de ce que la partie veut que le tribunal lui alloue dans sa décision (Tappy, CR-CPC, n. 11 ad art. 221 CPC ; CREC 12 mai 2016/162). En l’occurrence, le recours est dépourvu de conclusions formelles, de sorte que sa recevabilité s’avère douteuse. La recourante, qui considère « inquiétant et choquant » que le lien de filiation entre elle-même et le défunt ne soit pas reconnu, ne prend aucune conclusion à cet égard, si ce n’est qu’il conviendrait de « changer la loi ». La question de la recevabilité peut néanmoins rester ouverte, le recours devant de toute manière être rejeté. 2. 2.1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 Les conclusions, les allégations de fait et les preuves nouvelles sont irrecevables en procédure de recours (art. 326 al. 1 CPC). 2.2 En l’espèce, la recourante a produit un lot de pièces figurant toutes au dossier de première instance. Ces pièces s'avèrent recevables dès lors qu'il ne s'agit pas de pièces nouvelles.</w:t>
      </w:r>
    </w:p>
    <w:p>
      <w:r>
        <w:rPr>
          <w:b/>
        </w:rPr>
        <w:t>E. 3</w:t>
      </w:r>
    </w:p>
    <w:p>
      <w:r>
        <w:t>CDPJ est recevable, quelle que soit la valeur litigieuse prise en considération (CREC 29 juillet 2014/255 ; CREC 11 mars 2013/74). Pour les décisions prises en procédure sommaire, le délai de recours est de dix jours (art. 321 al. 2 CPC).</w:t>
      </w:r>
    </w:p>
    <w:p>
      <w:r>
        <w:rPr>
          <w:b/>
        </w:rPr>
        <w:t>E. 3.1</w:t>
      </w:r>
    </w:p>
    <w:p>
      <w:r>
        <w:t>La recourante conteste l’absence de lien de filiation entre elle-même et le défunt. Elle se prévaut à cet égard du mandat pour cause d’inaptitude établi par le défunt en sa faveur, mandat qui la désigne en tant que sa fille unique. Elle fait valoir qu’elle a été élevée par sa mère et le défunt, auprès desquels elle a vécu jusqu’à son mariage le 12 juillet 1969, et se prévaut des extraits de son livret scolaire, signés par le défunt, « le seul père qu’il ne [lui] est jamais été donné de connaître ». Elle expose qu’après son mariage, elle et son mari ont gardé de très bons liens avec le défunt pendant 50 ans.</w:t>
      </w:r>
    </w:p>
    <w:p>
      <w:r>
        <w:rPr>
          <w:b/>
        </w:rPr>
        <w:t>E. 3.2.1</w:t>
      </w:r>
    </w:p>
    <w:p>
      <w:r>
        <w:t>Les règles sur la vocation successorale (art. 457 à 536 et 626 à 632 CC [Code civil suisse du 10 décembre 1907 ; RS 210]), permettent de déterminer qui succède au défunt et, s’il y a plusieurs successeurs, quelle partie du patrimoine du défunt doit revenir à chacun d’eux. La transmission successorale suppose un titre, c’est-à-dire l’existence d’un fait juridique en vertu duquel la loi appelle une personne à succéder au défunt. Ce titre, qui crée une vocation successorale, peut résulter de la loi lorsque celle-ci attache à un certain état de fait, en général de liens de famille, le droit de succéder au défunt (vocation successorale légale), ou d’une déclaration de volonté du défunt exprimée dans une disposition pour cause de mort (vocation successorale volontaire) (Steinauer, le droit des successions, 2 e éd., Berne 2015, nn. 43-45). Les liens rattachant les membres de la parentèle des descendants au défunt (art. 457 CC), doit être un lien juridique de filiation au sens des art. 252 ss CC. Ce lien peut être fondé sur la descendance biologique ou l’adoption (Steinauer, op. cit., n. 54)</w:t>
      </w:r>
    </w:p>
    <w:p>
      <w:r>
        <w:rPr>
          <w:b/>
        </w:rPr>
        <w:t>E. 3.2.2</w:t>
      </w:r>
    </w:p>
    <w:p>
      <w:r>
        <w:t>L'art. 42 CC institue une action formatrice générale tendant à l'inscription, à la rectification ou à la radiation de données litigieuses concernant l'état civil. Il s'agit d'une action subsidiaire par rapport aux actes de juridiction gracieuse ou contentieuse du droit des personnes et de la famille (ATF 131 III 201 consid. 1.2 ; cf. ATF 143 III 624 consid. 4.3 ; Bohnet, Actions civiles, Volume I : CC et LP, 2 e éd., Bâle 2019, § 8, n. 1, p. 106, avec cependant les références aux avis contraires dans la doctrine ; Graf-Gaiser/Montini, Basler Kommentar, Zivilgesetzbuch I, Bâle 2018, n.</w:t>
      </w:r>
    </w:p>
    <w:p>
      <w:r>
        <w:rPr>
          <w:b/>
        </w:rPr>
        <w:t>E. 3.3</w:t>
      </w:r>
    </w:p>
    <w:p>
      <w:r>
        <w:t>En l’espèce, il ressort des pièces produites, notamment du mandat pour cause d’inaptitude établi le 7 mai 2019 ainsi que du testament du 10 janvier 2018, que le défunt considérait bel et bien la recourante comme sa fille. Il n’apparaît cependant pas que le défunt, qui n’était pas le père biologique de la recourante, aurait adopté cette dernière. Les liens affectifs, aussi forts soient-ils, ne suffisent pas à créer une vocation successorale légale au sens de l’art. 457 CC. Peu importe à cet égard que la recourante ait été autorisée à changer de nom et à porter celui de F.________, soit celui du défunt qui l’a élevée comme sa propre fille. Au demeurant, la recourante n’indique pas avoir entrepris les démarches prévues à l’art. 42 CC. Ainsi, quand bien même on ne peut nier à la recourante que « moralement » elle est bel et bien la fille du défunt, le registre d’état civil fait foi. 4. Il s’ensuit que le recours, manifestement infondé, doit être rejeté selon le mode procédural de l’art. 322 al. 1 CC et la décision entreprise confirmée. Les frais judiciaires de deuxième instance, arrêtés à 400 fr. (art. 74 al. 1 TFJC [tarif des frais judiciaires en matière civile du 28 septembre 2010 ; BLV 270.11.5]), sont mis à la charge de la recourante, qui succombe (art. 106 al. 1 CPC). Par ces motifs, la Chambre des recours civile du Tribunal cantonal, en application de l'art. 322 al. 1 CPC, prononce : I. Le recours est rejeté dans la mesure où il est recevable. II. La décision est confirmée. III. Les frais judiciaires de deuxième instance, arrêtés à 400 fr. (quatre cents francs), sont mis à la charge de la recourante M.________. IV. L’arrêt est exécutoire. Le président :               La greffière : Du L'arrêt qui précède, dont la rédaction a été approuvée à huis clos, est notifié à : ‑ M.________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5</w:t>
      </w:r>
    </w:p>
    <w:p>
      <w:r>
        <w:t>ad art. 42 CC ; Montini, Commentaire romand, Code civil I, Bâle 2010, n. 1 ad art. 42 CC). Les registres de l'état civil sont dotés de la force probante accrue de l'art. 9 CC, mais n'ont en principe qu'une valeur déclarative (ATF 135 III 389 consid. 3.4, JdT 2009 I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