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528 vom 17. August 2020</w:t>
      </w:r>
    </w:p>
    <w:p>
      <w:r>
        <w:t>VD Tribunal cantonal, 2020-08-17, FR</w:t>
      </w:r>
    </w:p>
    <w:p>
      <w:r>
        <w:rPr>
          <w:b/>
        </w:rPr>
        <w:t xml:space="preserve">Quelle: </w:t>
      </w:r>
      <w:r>
        <w:t>https://mcp.opencaselaw.ch/entscheid/vd_findinfo_HC___2020___528</w:t>
      </w:r>
    </w:p>
    <w:p>
      <w:r>
        <w:t>FR: VD_FINDINFO HC / 2020 / 528 du 17 août 2020</w:t>
      </w:r>
    </w:p>
    <w:p>
      <w:r>
        <w:t>IT: VD_FINDINFO HC / 2020 / 528 del 17 agosto 2020</w:t>
      </w:r>
    </w:p>
    <w:p>
      <w:pPr>
        <w:pStyle w:val="Heading2"/>
      </w:pPr>
      <w:r>
        <w:t>Regeste</w:t>
      </w:r>
    </w:p>
    <w:p>
      <w:r>
        <w:t>PROTECTION DE L'UNION CONJUGALE, MODIFICATION DES CIRCONSTANCES, DROIT DE GARDE, OBLIGATION D'ENTRETIEN | 176 al. 1 ch. 1 CC, 176 al. 3 CC, 179 al. 1 CC, 285 CC</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à la fois sur des conclusions de nature non patrimoniale et sur des conclusions qui, capitalisées selon l’art. 92 al.</w:t>
      </w:r>
    </w:p>
    <w:p>
      <w:r>
        <w:rPr>
          <w:b/>
        </w:rPr>
        <w:t>E. 2</w:t>
      </w:r>
    </w:p>
    <w:p>
      <w:r>
        <w:t>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w:t>
      </w:r>
    </w:p>
    <w:p>
      <w:r>
        <w:rPr>
          <w:b/>
        </w:rPr>
        <w:t>E. 2.2.1</w:t>
      </w:r>
    </w:p>
    <w:p>
      <w:r>
        <w:t>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w:t>
      </w:r>
    </w:p>
    <w:p>
      <w:r>
        <w:rPr>
          <w:b/>
        </w:rPr>
        <w:t>E. 2.2.2</w:t>
      </w:r>
    </w:p>
    <w:p>
      <w:r>
        <w:t>En l’espèce, la cause concerne essentiellement des questions liées à l’enfant mineur des parties – telle que la modification du droit de garde et de la pension due en faveur de celui-ci –, de sorte que la maxime inquisitoire illimitée est applicable. En conséquence, les pièces nouvelles produites par les parties en deuxième instance sont recevables. Il en a été tenu compte dans la mesure de leur pertinence.</w:t>
      </w:r>
    </w:p>
    <w:p>
      <w:r>
        <w:rPr>
          <w:b/>
        </w:rPr>
        <w:t>E. 3</w:t>
      </w:r>
    </w:p>
    <w:p>
      <w:r>
        <w:t>juin 2015 consid. 4.3.3).</w:t>
      </w:r>
    </w:p>
    <w:p>
      <w:r>
        <w:rPr>
          <w:b/>
        </w:rPr>
        <w:t>E. 3.1</w:t>
      </w:r>
    </w:p>
    <w:p>
      <w:r>
        <w:t>L’appelant requiert en premier lieu que la garde de G.________ lui soit attribuée et qu’un mandat d’évaluation de la situation de cet enfant soit simultanément confié à l’UEMS afin de faire toute proposition quant aux droits parentaux des parties. Il invoque en substance à cet égard l’existence de prétendues carences dans la prise en charge de l’enfant par l’intimée – notamment s’agissant de son suivi scolaire –, ainsi qu’une communication parentale qui serait entravée par un discours dénigrant entretenu par l’intimée à son encontre et qui aurait pour conséquence que G.________ peinerait à évoluer favorablement et serait enlisé dans un conflit de loyauté. Il soutient en outre que l’intimée entraverait l’exercice de son droit de visite. Selon l’appelant, il conviendrait dès lors – afin d’assurer le maintien des liens entre les deux parents et le bon développement de l’enfant – de lui confier la garde de fait de celui-ci et de fixer un droit de visite usuel en faveur de l’intimée. A défaut, il y aurait à tout le moins lieu de mandater l’UEMS pour investiguer la forme d’appropriation qui, selon ses dires, semblerait avoir été mise en place par l’intimée, détériorant le lien père-fils au mépris de l’intérêt prépondérant de G.________.</w:t>
      </w:r>
    </w:p>
    <w:p>
      <w:r>
        <w:rPr>
          <w:b/>
        </w:rPr>
        <w:t>E. 3.2.1</w:t>
      </w:r>
    </w:p>
    <w:p>
      <w:r>
        <w:t>ci-dessus).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les références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w:t>
      </w:r>
    </w:p>
    <w:p>
      <w:r>
        <w:rPr>
          <w:b/>
        </w:rPr>
        <w:t>E. 3.2.2</w:t>
      </w:r>
    </w:p>
    <w:p>
      <w:r>
        <w:t>Dans le nouveau droit entré en vigueur au 1 er juillet 2014,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 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ss et 466 p. 311 ; Schwenzer/Cottier, Basler Kommentar, Zivilgesetzbuch I, 5 e éd., 2014, n. 4 ad art. 298 CC). Les critères dégagés par la jurisprudence relative à l'attribution des droits parentaux demeurent toutefois applicables au nouveau droit lorsque le maintien de l'autorité parentale est litigieux, mais aussi pour statuer sur la « garde » lorsque celle-ci est disputée (Meier/Stettler, op. cit., nn. 498 et 499 pp. 334 ss ; Schwenzer/Cottier, op. cit., n. 5 ad art. 298 CC).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II 353 consid. 3).</w:t>
      </w:r>
    </w:p>
    <w:p>
      <w:r>
        <w:rPr>
          <w:b/>
        </w:rPr>
        <w:t>E. 3.2.3</w:t>
      </w:r>
    </w:p>
    <w:p>
      <w:r>
        <w:t>Selon l’art. 315a al. 1 CC, le juge chargé de régler, selon les dispositions régissant le divorce ou la protection de l’union conjugale, les relations des père et mère avec l’enfant prend également les mesures nécessaires à la protection de ce dernier et charge les autorités de tutelle de leur exécution. A cet effet, il peut notamment charger le Service de protection de la jeunesse d’évaluer, sous l’angle de la protection d’un mineur, les conditions d’existence de celui-ci auprès de ses parents ainsi que les capacités éducatives de ceux-ci (art. 20 al. 1 LProMin [Loi sur la protection des mineurs du 4 mai 2004 ; BLV 850.41]).</w:t>
      </w:r>
    </w:p>
    <w:p>
      <w:r>
        <w:rPr>
          <w:b/>
        </w:rPr>
        <w:t>E. 3.3</w:t>
      </w:r>
    </w:p>
    <w:p>
      <w:r>
        <w:t>En l’espèce, l’appelant ne rend aucunement vraisemblable l’existence de prétendues carences de la part de l’intimée dans la prise en charge de G.________. En particulier, la situation scolaire de l’enfant invoquée par l’appelant n’apparaît en rien inquiétante, celui-ci ayant obtenu des résultats satisfaisants et presque identiques durant le premier semestre 2018-2019, soit avant la séparation de ses parents, et le premier semestre 2019-2020. G.________ est en outre décrit par ses professeurs comme étant un enfant calme et agréable, ce qui permet de retenir qu’il ne présente pas de difficulté de comportement à l’école. Quant aux activités pratiquées par l’intimée – comme le feng shui – que l’appelant invoque comme motifs d’inquiétude, on ne voit pas en quoi elles seraient de nature à compromettre le bon développement de l’enfant. On observe au demeurant que l’intimée exerçait déjà le feng shui du temps de la vie commune et que l’appelant a même bénéficié de conseils sur cette base, de sorte qu’il apparaît quelque peu malvenu d’invoquer cet élément pour requérir un transfert de la garde de l’enfant. S’agissant enfin des problèmes de communication parentale et des difficultés liées à l’exercice du droit de visite de l’appelant, ceux-ci ont certes clairement été établis lors de l’instruction. Ils ne sauraient pour autant donner lieu en l’état à une modification de la garde de fait de l’enfant ou du droit de visite mis en place. Certes, il peut arriver à l’intimée de négliger le droit de visite du père – comme lorsqu’elle a, très vraisemblablement, fixé un rendez-vous chez le coiffeur pour son fils alors qu’il avait été entendu que l’enfant passerait l’après-midi du 9 novembre 2019 avec son père. Mais il n’en ressort pas mois des déclarations faites par les parties à l’audience d’appel que si le droit de visite n’a pas été exercé dernièrement et si la communication entre les parties a été déficiente, c’est en grande partie du fait de l’appelant, celui-ci ayant notamment expliqué, d’une part, qu’il n’avait pas cherché à appeler son épouse mais uniquement G.________ lorsqu’il souhaitait voir ce dernier et, d’autre part, que sa compagne actuelle ne voulait pas qu’il contacte son épouse. Or G.________ n’est âgé que de dix ans, de sorte qu’il est indispensable qu’il y ait un minimum de communication entre les parents pour que le droit de visite puisse s’exercer convenablement. En définitive, il n’existe aucun élément nouveau qui justifierait de modifier l’attribution de la garde de l’enfant, respectivement le droit de visite prévu en faveur du père. Cela étant, il apparaît que les parties sont divisées par un important conflit et qu’elles sont en l’état incapables de communiquer. Une telle situation est à l’évidence problématique et contraire à l’intérêt de G.________, celui-ci n’ayant pratiquement pas vu son père au cours des derniers mois. Il semble au demeurant que la nouvelle relation sentimentale de l’appelant ne facilite pas les choses, l’appelant ayant expliqué que G.________ éprouvait des réticences à rencontrer sa compagne et que celle-ci s’opposait à ce qu’il contacte l’intimée, ce qui – comme déjà exposé – est pourtant indispensable pour que le droit de visite puisse s’exercer convenablement. Dans ces circonstances, il apparaît effectivement nécessaire de charger l’UEMS de procéder à une évaluation et de faire toute proposition quant aux droits parentaux à l’égard de G.________. Cette évaluation devra notamment permettre de déterminer si la nouvelle situation personnelle de l’appelant n’empêche pas de rétablir les contacts père-fils et, le cas échéant, de trouver des solutions pour mettre fin à un tel blocage. Le premier juge devra revoir la situation sur la base de cette évaluation. L’appel sera dès lors admis sur ce point.</w:t>
      </w:r>
    </w:p>
    <w:p>
      <w:r>
        <w:rPr>
          <w:b/>
        </w:rPr>
        <w:t>E. 4.1</w:t>
      </w:r>
    </w:p>
    <w:p>
      <w:r>
        <w:t>L’appelant requiert en outre de manière autonome – soit même pour le cas où la garde de l’enfant ne lui serait pas attribuée – que la contribution d’entretien qu’il doit en faveur de l’intimée soit supprimée avec effet au 1 er janvier 2020 et que la contribution d’entretien due en faveur de G.________ soit réduite à 1’940 fr. 65 par mois. Il reproche en substance au premier juge d’avoir nié l’existence de faits nouveaux commandant de procéder à une modification des contributions d’entretien allouées selon l’ordonnance de mesures protectrices de l’union conjugale du 16 mai 2019. A cet égard, il soutient que l’augmentation de son loyer, consécutive à son déménagement dans un appartement à Gland au mois d’octobre 2019, constituerait un tel fait nouveau, de sorte qu’il conviendrait de réexaminer en totalité la situation financière des parties et d’effectuer un nouveau calcul des montants des contributions d’entretien litigieuses. L’appelant fait valoir qu’au vu de la situation économique favorable des parties, il y aurait lieu d’appliquer, dans le cadre de ce réexamen, la méthode du train de vie et non la méthode du minimum vital élargi, appliquée selon lui à tort dans l’ordonnance du 16 mai 2019.</w:t>
      </w:r>
    </w:p>
    <w:p>
      <w:r>
        <w:rPr>
          <w:b/>
        </w:rPr>
        <w:t>E. 4.2.1</w:t>
      </w:r>
    </w:p>
    <w:p>
      <w:r>
        <w:t>Comme déjà indiqué,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(cf. les références jurisprudentielles déjà citées au consid.</w:t>
      </w:r>
    </w:p>
    <w:p>
      <w:r>
        <w:rPr>
          <w:b/>
        </w:rPr>
        <w:t>E. 4.2.2</w:t>
      </w:r>
    </w:p>
    <w:p>
      <w:r>
        <w:t>Le fait revêt un caractère nouveau lorsqu'il n'a pas été pris en considération pour fixer la contribution d'entretien dans le jugement précédent (ATF 137 III 604 consid. 4.1.1 ; ATF 131 III 189 consid. 2.7.4 ; TF 5A_829/2012 du</w:t>
      </w:r>
    </w:p>
    <w:p>
      <w:r>
        <w:rPr>
          <w:b/>
        </w:rPr>
        <w:t>E. 4.2.3</w:t>
      </w:r>
    </w:p>
    <w:p>
      <w:r>
        <w:t>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w:t>
      </w:r>
    </w:p>
    <w:p>
      <w:r>
        <w:rPr>
          <w:b/>
        </w:rPr>
        <w:t>E. 4.3.1</w:t>
      </w:r>
    </w:p>
    <w:p>
      <w:r>
        <w:t>Le premier juge a relevé que l’augmentation de loyer de l’appelant depuis le mois d’octobre 2019 pourrait certes être prise en considération pour réactualiser les calculs des contributions d’entretien litigieuses, comme le prévoyait l’ordonnance de mesures protectrices de l’union conjugale du 16 mai 2019, mais que cette charge supplémentaire était en l’occurrence entièrement contrebalancée par l’augmentation de salaire de l’appelant intervenue depuis lors. Il a ainsi considéré que le nouveau disponible excédentaire de l’appelant était à l’évidence supérieur à celui établi précédemment, de sorte qu’il n’y avait pas lieu d’admettre l’existence de faits nouveaux justifiant de diminuer, encore moins de supprimer, les contributions d’entretien fixées en mai 2019.</w:t>
      </w:r>
    </w:p>
    <w:p>
      <w:r>
        <w:rPr>
          <w:b/>
        </w:rPr>
        <w:t>E. 4.3.2</w:t>
      </w:r>
    </w:p>
    <w:p>
      <w:r>
        <w:t>En l’espèce, si la charge de loyer de l’appelant a effectivement augmenté de 1’675 fr. par mois depuis le 16 octobre 2019 – étant passée de 975 fr. à 2'650 fr. –, ses revenus mensuels ont dans le même temps augmenté de 5’940 fr., étant passés de 14'120 fr. nets durant sa période de chômage à 20'094 fr. (sans prise en compte du bonus de bienvenue et d’un éventuel bonus annuel sur les résultats) depuis son engagement au mois de septembre 2019. C’est dès lors à juste titre que le premier juge a constaté que malgré l’augmentation de la charge de loyer de l’appelant, le disponible de celui-ci était en réalité plus élevé désormais qu’il ne l’était au moment où les contributions d’entretien dues en faveur de l’intimée et de G.________ avaient été fixées au mois de mai 2019. Ce constat s’impose même si l’on tient compte des frais mensuels liés à la place de parc louée par l’appelant depuis octobre 2019, par 120 fr., et des frais mensuels de repas allégués par celui-ci en lien avec la prise de son nouvel emploi, par 238 fr. 70. Dans ces conditions, le premier juge était fondé à considérer que, dans la mesure où elles étaient largement compensées par l’augmentation de ses revenus, les charges nouvelles invoquées par l’appelant ne justifiaient pas qu’il soit procédé à un nouveau calcul des contributions d’entretien litigieuses, étant précisé qu’il n’y avait pas lieu d’envisager une augmentation de la pension due à G.________ du fait de la hausse des revenus de l’appelant, dès lors que la pension de l’enfant fixée dans l’ordonnance du 16 mai 2019 couvrait l’entretien convenable de celui-ci. Il n’apparaît au demeurant pas que la situation personnelle et financière de l’intimée se soit modifiée depuis que les contributions d’entretien en cause ont été arrêtées, celle-ci travaillant toujours à 60% pour le compte du même employeur. C’est en vain que l’appelant soutient qu’il conviendrait d’imputer à l’intimée un revenu hypothétique à un taux de travail de 80%. En application de la jurisprudence du Tribunal fédéral, il ne peut en principe être exigé du parent gardien qu’il exerce une activité lucrative à un taux de plus de 50% avant le début de l’entrée de l’enfant au niveau secondaire (TF 5A_384/2018 du 21 septembre 2018 consid. 4). Or G.________ – qui est âgé de dix ans – s’apprête à entrer en 7P, de sorte qu’il ne commencera l’école secondaire que dans une année au minimum. Il n’y a dès lors pas matière à l’imputation d’un quelconque revenu hypothétique. On ne saurait davantage faire grief au premier juge de ne pas avoir tenu compte du fait que l’intimée perçoit des revenus locatifs. Dans la mesure où c’est par convention du 12 avril 2019 que les parties ont convenu d’une répartition entre elles par moitié des revenus provenant de la location des immeubles dont elles sont copropriétaires, ces revenus ne constituent manifestement pas un fait nouveau justifiant de revoir les contributions d’entretien arrêtées au mois de mai 2019. Il n’apparaît enfin pas que les coûts directs de G.________ auprès de sa mère se soient modifiés depuis qu’ils ont été arrêtés dans l’ordonnance du 16 mai 2019, l’appelant admettant au contraire que ceux-ci demeurent inchangés à 1'940 fr. 65. En définitive, c’est à raison que le premier juge a considéré qu’aucun fait nouveau au sens de l’art. 179 al. 1 CC n’avait été rendu vraisemblable et qu’il a refusé, pour ce motif, de réexaminer le montant des contributions d’entretien litigieuses. En l’absence de tels faits nouveaux, point n’est besoin de se prononcer sur les autres moyens soulevés par l’appelant, qui concernent la méthode à appliquer pour fixer les contributions d’entretien et les charges à prendre en considération dans ce cadre. De tels griefs n’ont en effet pas de place dans le cadre de la présente procédure de modification ; ils devaient, le cas échéant, être invoqués à l’appui d’un appel contre l’ordonnance de mesures protectrices de l’union conjugale du 16 mai 2019. 5. Au vu de ce qui précède, l’appel doit être très partiellement admis et le prononcé attaqué réformé en ce sens qu’un mandat d’évaluation de la situation de G.________ est confié à l’UEMS afin de faire toute proposition quant aux droits parentaux à son égard. Pour le surplus, l’appel doit être rejeté. Sous réserve de sa conclusion tendant à la mise en œuvre d’un mandat d’évaluation, l’appelant succombe en définitive sur l’ensemble des conclusions de son appel. Dans ces conditions, les frais judiciaires de deuxième instance, arrêtés à 600 fr. (art. 65 al. 2 TFJC [Tarif des frais judiciaires civils du 28 septembre 2010 ; BLV 270.11.5]), seront mis à raison d’un sixième à la charge de l’intimée, par 100 fr., et de cinq sixièmes à la charge de l’appelant, par 500 francs (art. 106 al. 2 CPC). L’appelant versera en outre à l’intimée des dépens réduits de deuxième instance, évalués à 1'400 fr. [7h x 300 fr. – 2 x 1/6] (art. 3 al. 2 et 7 TDC [Tarif des dépens en matière civile du 23 novembre 2020 ; BLV 270.11.6]). Par ces motifs, le juge délégué de la Cour d’appel civile prononce : I. L’appel est partiellement admis. II. Le prononcé est réformé comme il suit par l’ajout d’un chiffre II bis à son dispositif : II bis . Confie un mandat d’évaluation de la situation de l’enfant G.________, né le [...] novembre 2009, à l’Unité évaluation et missions spécifiques du Service de protection de la jeunesse, avec pour mission de faire toute proposition quant aux droits parentaux à l’égard de l’enfant prénommé et dit que la détermination du lieu de résidence et la prise en charge de l’enfant G.________, ainsi que la réglementation de ses relations personnelles avec le parent non gardien, seront revues sur la base de cette évaluation ; Le prononcé est confirmé pour le surplus. III. Les frais judiciaires de deuxième instance, arrêtés à 600 fr. (six cents francs), sont mis par 500 fr. (cinq cents francs) à la charge de l’appelant A.S.________ et par 100 fr. (cent francs) à la charge de l’appelante B.S.________. IV. L’intimée B.S.________ versera à l’appelant A.S.________ la somme de 100 fr. (cent francs) à titre de remboursement de sa part des frais judiciaires de deuxième instance, avancés par A.S.________. V. L’appelant A.S.________ versera à l’intimée B.S.________ la somme de 1'400 fr. (mille quatre cents francs) à titre de dépens de deuxième instance. VI. L’arrêt est exécutoire. Le juge délégué : Le greffier : Du Le présent arrêt, dont la rédaction a été approuvée à huis clos, est notifié en expédition complète à : ‑ Me Matthieu Genillod (pour A.S.________), ‑ Me Tiphanie Chappuis (pour B.S.________),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décembre 2016 consid. 3.1).</w:t>
      </w:r>
    </w:p>
    <w:p>
      <w:r>
        <w:rPr>
          <w:b/>
        </w:rPr>
        <w:t>E. 7</w:t>
      </w:r>
    </w:p>
    <w:p>
      <w:r>
        <w:t>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précité consid. 3 ; TF 5A_33/2015 précité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TF 5A_64/2018 du 14 août 2018 consid. 3.1). Le caractère durable des faits nouveaux est quant à lui admis dès que l’on ignore la durée qu’ils auront (Chaix, Commentaire romand, Code civil I, 2010, n. 4 ad art. 179 CC). Ainsi, est essentiel et durable un changement significatif et non temporaire survenu postérieurement à la date à laquelle la décision a été rendue (TF 5A_571/2018 du 14 septembre 2018 consid. 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