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510 vom 18. August 2020</w:t>
      </w:r>
    </w:p>
    <w:p>
      <w:r>
        <w:t>VD Tribunal cantonal, 2020-08-18, FR</w:t>
      </w:r>
    </w:p>
    <w:p>
      <w:r>
        <w:rPr>
          <w:b/>
        </w:rPr>
        <w:t xml:space="preserve">Quelle: </w:t>
      </w:r>
      <w:r>
        <w:t>https://mcp.opencaselaw.ch/entscheid/vd_findinfo_HC___2020___510</w:t>
      </w:r>
    </w:p>
    <w:p>
      <w:r>
        <w:t>FR: VD_FINDINFO HC / 2020 / 510 du 18 août 2020</w:t>
      </w:r>
    </w:p>
    <w:p>
      <w:r>
        <w:t>IT: VD_FINDINFO HC / 2020 / 510 del 18 agosto 2020</w:t>
      </w:r>
    </w:p>
    <w:p>
      <w:pPr>
        <w:pStyle w:val="Heading2"/>
      </w:pPr>
      <w:r>
        <w:t>Regeste</w:t>
      </w:r>
    </w:p>
    <w:p>
      <w:r>
        <w:t>RESPONSABILITÉ DU PROPRIÉTAIRE D'OUVRAGE, PRESCRIPTION, ACCIDENT PROFESSIONNEL, LIEN DE CAUSALITÉ | 58 al. 1 CO, 60 al. 1 CO</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écrit et motivé, doit être introduit dans les trente jours à compter de la notification de la décision motivée (art. 311 al. 1 CPC).</w:t>
      </w:r>
    </w:p>
    <w:p>
      <w:r>
        <w:rPr>
          <w:b/>
        </w:rPr>
        <w:t>E. 1.2</w:t>
      </w:r>
    </w:p>
    <w:p>
      <w:r>
        <w:t>En l'espèce, formé en temps utile – compte tenu de la suspension du délai d’appel durant les féries judiciaires (art. 145 al. 1 let. c CPC) – par une partie qui a un intérêt digne de protection (art. 59 al. 2 let. a CPC) et portant sur des conclusions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Commentaire romand, Code de procédure civile [ci-après : CR-CPC], 2 e éd., 2019, n. 3 ad art. 311 CPC et la jurisprudence constante de la CACI, notamment CACI 1 er février 2012/57 consid. 2a).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w:t>
      </w:r>
    </w:p>
    <w:p>
      <w:r>
        <w:rPr>
          <w:b/>
        </w:rPr>
        <w:t>E. 3.1</w:t>
      </w:r>
    </w:p>
    <w:p>
      <w:r>
        <w:t>L'appelant relève en premier lieu l'existence de plusieurs erreurs ou omissions importantes dans l'établissement des faits au sens de l'art. 310 let. b CPC. Il requiert le complètement de l'état de fait avec : - le contenu du rapport du Dr T.________ du 13 juin 2014, y compris la mention des différentes options thérapeutiques envisagées sur son genou par ce praticien et la volonté de celui-ci de réfléchir encore ; - le témoignage du Dr I.________, en tant que celui-ci a indiqué avoir constaté une amélioration significative de son genou droit suite à l'accident du 1 er octobre 1997 et que l'accident du 2 avril 2014 avait tout remis en cause ; - les témoignages de V.________, L.________ et Z.________, en tant que ceux-ci ont confirmé que diverses mesures de sécurisation de l'ensemble des escaliers de l'échafaudage avaient été prises après l'accident, la mention du jugement selon laquelle les escaliers avaient été maintenus en partie haute seulement n'étant pas suffisante. L'état de fait du jugement entrepris a été dûment complété dans le sens requis par l'appelant.</w:t>
      </w:r>
    </w:p>
    <w:p>
      <w:r>
        <w:rPr>
          <w:b/>
        </w:rPr>
        <w:t>E. 3.2.1</w:t>
      </w:r>
    </w:p>
    <w:p>
      <w:r>
        <w:t>L'appelant estime en outre que les premiers juges ne pouvaient pas retenir que le Tribunal fédéral avait rejeté le recours qu’il avait déposé contre la décision du 29 mars 2017 de la Cour des assurances sociales, dès lors que l'allégué y relatif avait été introduit en procédure tardivement et ne respectait donc pas les conditions de l'art. 229 al. 1 CPC.</w:t>
      </w:r>
    </w:p>
    <w:p>
      <w:r>
        <w:rPr>
          <w:b/>
        </w:rPr>
        <w:t>E. 3.2.2</w:t>
      </w:r>
    </w:p>
    <w:p>
      <w:r>
        <w:t>Aux termes de l'art. 229 al. 1 CPC, les faits et moyens de preuve nouveaux doivent être invoqués sans retard. L'invocation sans retard impose au plaideur de ne pas laisser s'écouler plus de quelques semaines (utilisées par exemple pour effectuer des vérifications) pour procéder à l'allégation depuis le moment où il a eu connaissance des faits nouveaux proprement dits ou du moment où il aurait pu, avec diligence, faire état des faits nouveaux improprement dits (Colombini, Code de procédure civile, Condensé de la jurisprudence fédérale et vaudoise, éd. bis &amp; ter, 2018, n. 1.2.2 ad art. 229 CPC). Cette règle s'efface dans le cas réservé par l'art. 229 al. 3 CPC, qui précise que lorsqu'il doit établir les faits d'office, le tribunal admet des faits et moyens de preuve nouveaux jusqu'aux délibérations. Il s'ensuit que si la cause est soumise à la maxime inquisitoire sociale de l'art. 247 al. 2 let. b ch. 2 CPC, les faits et moyens de preuve nouveaux peuvent être librement introduits jusqu'aux délibérations (Tappy, CR-CPC, op. cit., n. 26 ad art. 229 CPC).</w:t>
      </w:r>
    </w:p>
    <w:p>
      <w:r>
        <w:rPr>
          <w:b/>
        </w:rPr>
        <w:t>E. 3.2.3</w:t>
      </w:r>
    </w:p>
    <w:p>
      <w:r>
        <w:t>En l'espèce, le 8 novembre 2017, K.________ a déposé une requête complémentaire en novas. Cette requête faisait suite à la consultation du CD Rom produit par l'OAI au greffe de la Chambre patrimoniale cantonale le 31 octobre 2017. L’allégué 521 de ladite requête, dont l'appelant demande le retranchement, indique que le recours [de l’appelant contre le jugement de la Cour des assurances sociales du 27 mars 2017] a été rejeté [par le Tribunal fédéral], la preuve offerte à l’appui de cet allégué étant la pièce 151 requise, à savoir l'arrêt de l'instance fédérale. Le jugement en question oppose l'appelant à la SUVA. Bien que datant du 27 mars 2017, il n'a donc pas été notifié à l'intimée K.________, de sorte que l'on peut tenir pour acquis que celle-ci n'en a eu connaissance que le 31 octobre 2017. Cela étant, c'est à bon droit que les novas ont été admis par décision du juge délégué du</w:t>
      </w:r>
    </w:p>
    <w:p>
      <w:r>
        <w:rPr>
          <w:b/>
        </w:rPr>
        <w:t>E. 7</w:t>
      </w:r>
    </w:p>
    <w:p>
      <w:r>
        <w:t>décembre 2017, dès lors qu'ils ont été déposés dans un délai de dix jours à compter de la connaissance du fait nouveau. Le fait qu'une audience d'audition de témoins ait eu lieu dans l'intervalle, soit le 2 novembre 2017, n’y change rien, sauf à considérer que les intimées devaient être capables d'examiner le nouveau moyen de preuve et de formuler les allégués y relatifs en deux jours seulement, ce qui est manifestement contraire à la jurisprudence évoquée ci-dessus. Partant, le moyen doit être rejeté. 4. 4.1 L'appelant soutient que, contrairement à ce qu'a retenu la Chambre patrimoniale cantonale, son action en dommages-intérêts dirigée contre O.________ n'est pas prescrite. 4.2 4.2.1 L'art. 60 al. 1 CO dispose que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La prescription annale court dès la connaissance du dommage. Selon la jurisprudence relative à l'art. 60 al. 1 CO, le lésé connaît suffisamment le dommage lorsqu'il apprend – relativement à l'existence, à la nature et aux éléments de celui-ci – les circonstances propres à fonder et à motiver une demande en justice (TF 4A_136/2012 du 18 juillet 2012 consid. 4.2 ; TF 4A_329/2009 et 4A_369/2009 du 1 er décembre 2010 ; TF 4A_489/2008 du 23 décembre 2008 consid. 2 et la jurisprudence citée ; ATF 131 III 61 consid. 3.1.1, rés. in JdT 2005 I 275, SJ 2005 I 289). Le lésé n'est pas admis à différer sa demande jusqu'au moment où il connaît le montant absolument exact de son préjudice, car le dommage peut devoir être estimé selon l'art. 42 al. 2 CO. Le dommage est suffisamment défini lorsque le lésé détient assez d'éléments pour qu'il soit en mesure de l'apprécier (TF 4C_150/2003 du 1 er octobre 2003 consid. 2 ; ATF 111 II 55 consid. 3a, rés. in JdT 1985 I 382, SJ 1985 I 455 ; ATF 108 lb 97 consid. 1c, rés. in JdT 1982 I 568). Eu égard à la brièveté du délai de prescription d'un an, le juge ne saurait se montrer trop exigeant à ce sujet à l'égard du lésé. Selon les circonstances, celui-ci doit pouvoir disposer d'un certain temps pour estimer l'étendue définitive du dommage, seul ou avec le concours de tiers (ATF 111 II 55 consid. 3a, rés. in JdT 1985 I 382, SJ 1985 I 455). Le délai de l'art. 60 al. 1 CO part ainsi dès le moment où le lésé a effectivement connaissance du dommage, et non de celui où il aurait pu découvrir l'importance de sa créance en faisant preuve de l'attention commandée par les circonstances (cf. dans ce sens ATF 131 III 61 consid. 3.1.2, rés. in JdT 2005 I 275 ; ATF 111 II 55 consid. 3a, rés. in JdT 1985 I 382, SJ 1985 I 455). Si l'ampleur du préjudice dépend d'une situation qui évolue, la prescription ne court pas avant le terme de cette évolution (TF 4C_150/2003 précité consid. 2 ; ATF 108 lb 97 consid. 1c, rés. in JdT 1982 I 568). En effet, selon le principe de l'unité du dommage, celui-ci doit être considéré comme un tout et non comme la somme de préjudices distincts. Il en résulte que le délai de prescription ne court pas, en cas d'évolution de la situation, avant que le dernier élément du dommage ne soit survenu. Cette règle vise essentiellement les cas de préjudices consécutifs à une atteinte à la santé de la victime dont il n'est pas possible de mesurer d'emblée l'évolution avec suffisamment de sécurité (TF 4C_150/2003 précité consid. 2 ; ATF 112 II 118 consid. 4, rés. in JdT 1986 I 506). Toutefois, le Tribunal fédéral considère que le lésé ne peut pas attendre de connaître son taux précis d'invalidité ou la décision des assureurs sociaux (TF 4A_329/2009 précité consid. 3). En règle générale, le lésé a suffisamment connaissance de son dommage dès qu'il dépose une demande auprès de l'Al (Werro, Commentaire romand, Code des obligations I, 2 e éd., 2012 [ci-après : CR-CO I], n. 20 ad art. 60 CO). En particulier, la connaissance du dommage résultant d'une invalidité permanente suppose que, selon un expert, l'état de santé soit stabilisé sur le plan médical et que le taux de l'incapacité de travail soit fixé au moins approximativement ; le lésé doit en outre savoir, sur la base des rapports médicaux, quelle peut être l'évolution de son état (TF 4A_289/2008 du 1 er octobre 2008 consid. 4, non publié in ATF 134 III 591 ; TF 4A_647/2010 du 4 avril 2011 consid. 3.1). Lorsque le lésé est si sévèrement atteint qu'une rente de l'assurance-invalidité doit lui être allouée, la décision de rente offre souvent l'information nécessaire à la connaissance du dommage ( TF 4A_136/2012 précité consid. 4.2 ; Brehm, Berner Kommentar, 4 e éd., 2013, n. 43 ad art. 60 CO). Mais la communication de la décision de l'assureur social ne constitue pas systématiquement le point de départ du délai de prescription relatif. En effet, l'issue de la procédure conduite par l'Al ou la SUVA n'est pas en soi déterminante pour la connaissance du dommage, car la rente d'invalidité ne réduit pas le dommage subi par un assuré, mais le couvre, du moins partiellement (TF 4A_647/2010 précité consid. 3.1 et TF 2C.1/1999 du 12 septembre 2000 consid. 3c). Enfin, le doute quant à l'existence de faits suffisants pour motiver une action en justice doit être interprété au préjudice du débiteur qui se prévaut de l'exception de prescription (cf. art. 8 CC). A cet égard, les circonstances du cas particulier sont décisives (ATF 111 II 55 consid. 3a). 4.2.2 L'art. 60 al. 2 CO instaure un délai extraordinaire lorsque les dommages-intérêts dérivent d'un acte punissable soumis par les lois pénales à une prescription de plus longue durée : en pareil cas, cette prescription s'applique à l'action civile. Pour que cette disposition trouve application, il faut que les faits invoqués tant civilement que pénalement se rapportent aux mêmes actes (ATF 127 III 358 consid. 4.b et les références citées, JdT 2002 I 187). Il y a punissabilité au sens de l'art. 60 al. 2 CO lorsque les éléments tant objectifs que subjectifs de l'infraction sont réunis (ATF 137 III 481 consid. 2.4 ; ATF 136 III 502 consid. 6.1). En cas d'acte punissable au sens du droit pénal, il n'est pas nécessaire que l'auteur ait été condamné ; il suffit qu'il puisse l'être. Il n'est pas non plus nécessaire qu'une poursuite ait été engagée. A moins que le juge pénal ait déjà prononcé une condamnation ou un acquittement, le juge civil décide préjudiciellement librement si l'acte de l'auteur constitue une infraction à la loi pénale (ATF 122 III 225 consid. 4, JdT 1997 I 195 ; CCIV 27 juin 2016 consid. III b). Pour que l'art. 60 al. 2 CO s'applique, on doit être en présence d'un acte punissable. La prescription pénale doit être plus longue que celle de l'action civile. En outre, il faut un lien de causalité entre l'acte punissable et le dommage (Werro, CR-CO I, n. 30 ad art. 60 CO). Il se pose la question de savoir si le lésé peut se prévaloir de la règle de l'art. 60 al. 2 CO lorsque l'action est intentée contre des tiers civilement responsables du dommage, et non contre l'auteur de l'acte pénalement punissable. Lorsque la responsabilité du tiers pour le comportement de l'auteur est fondée sur la violation d'un devoir de diligence propre, ce qui est le cas notamment de la responsabilité du chef de famille (art. 333 CC) et de celle de l'employeur, la prescription prolongée de l'action pénale ne s'applique pas à l'action dirigée contre le tiers (ATF 133 III 6 consid. 5.1). Il en va de même si la loi institue contre le responsable une responsabilité objective, comme c’est le cas du propriétaire d'ouvrage ou d'un bâtiment (art. 58 CO) (Werro, La responsabilité civile, 3 e éd., 2017 [ci-après: Werro, RC], n. 1650 ; Tappy, La prescription pénale de plus longue durée applicable en matière civile, in Responsabilité civile et assurance, Etudes en l'honneur de Baptiste Rusconi, 2000, pp. 393 ss). 4.3 En l'espèce, il faut commencer par exclure un délai de prescription plus long au motif d'une responsabilité pénale, l'art 60 al. 2 CO ne pouvant trouver application ici dès lors que l'intimée O.________ est actionnée en vertu de l’art. 58 al. 1 CO, soit sur la base d'une responsabilité objective. L'appelant estime que sa situation n'était pas stabilisée en 2014, contrairement à ce qu'a retenu la Chambre patrimoniale cantonale. Il relève que le Dr I.________ avait signalé, en octobre 2015, qu'il y avait encore une instabilité du genou droit, que le traitement n'était alors pas terminé – différentes options thérapeutiques ayant été envisagées – et que le même constat avait été fait une année plus tard. Ainsi, l’appelant fait valoir qu’en juillet 2014, il ne pouvait pas établir l'ampleur de son incapacité de travail et de son invalidité, de sorte que le délai de prescription d’une année prévu par l’art. 60 al. 1 CO ne pouvait pas commencer à courir. Selon lui, si la demande de prestations de l’AI a été déposée en juillet 2014, c'était pour répondre aux exigences de la LAI (Loi fédérale sur l’assurance-invalidité du 19 juin 1959 ; RS 831.20) et éviter une demande tardive entrainant la perte de son droit à une rente. L’appelant considère toutefois qu’à ce moment-là, il ne détenait que peu d'information sur l'étendue de son incapacité de travail. Or, il relève que selon la jurisprudence du Tribunal fédéral, il faut que l'assuré présente un état de santé stabilisé et que le taux d'incapacité de travail soit fixé au moins approximativement pour qu'une connaissance du dommage puisse lui être imputée et que la prescription annale de l’art. 60 al. 1 CO puisse courir. En l'occurrence, l’appelant a chuté d'un échafaudage en date du 2 avril 2014. Il est allé se faire ausculter au CHUV à tout le moins les 2, 8 et</w:t>
      </w:r>
    </w:p>
    <w:p>
      <w:r>
        <w:rPr>
          <w:b/>
        </w:rPr>
        <w:t>E. 7.1</w:t>
      </w:r>
    </w:p>
    <w:p>
      <w:r>
        <w:t>En conclusion, l'appel doit être rejeté selon le mode procédural de l’art. 312 al. 1 CPC et le jugement entrepris confirmé.</w:t>
      </w:r>
    </w:p>
    <w:p>
      <w:r>
        <w:rPr>
          <w:b/>
        </w:rPr>
        <w:t>E. 7.2</w:t>
      </w:r>
    </w:p>
    <w:p>
      <w:r>
        <w:t>Dans le cadre de son appel, l’appelant a requis le bénéfice de l’assistance judiciaire. En vertu de l’art. 117 CPC, une personne a droit à l’assistance judiciaire lorsqu’elle ne dispose pas de ressources suffisantes (let. a) et que sa cause ne paraît pas dépourvue de toute chance de succès (let. b). L’art. 118 al. 1 let. c CPC précise que la commission d’office d’un conseil juridique par le tribunal suppose que la défense des droits du requérant l’exige, en particulier lorsque la partie adverse est assistée d’un avocat. Il faut tenir compte à la fois d’éléments objectifs, tenant en particulier à la nature de la cause et au type de procédure appliquée, et d’éléments subjectifs fondés sur l’aptitude concrète de la partie concernée à procéder seule (Tappy, CR-CPC, op. cit., n. 12 ad art. 118 CPC). La commission d’un conseil d’office est en outre soumise à une troisième condition, soit la nécessité de son intervention. Ces conditions coïncident avec celles découlant du droit à l’assistance judiciaire, tel que garanti par l’art. 29 al. 3 Cst. Compte tenu de sa situation financière et des circonstances de la cause, notamment de sa complexité, il y a lieu d’admettre que l’appelant réalise les conditions fixées par l’art. 117 CPC, de sorte que l’assistance judiciaire peut lui être octroyée avec effet au 17 janvier 2020, Me Jean-Michel Duc étant désigné comme son conseil d’office.</w:t>
      </w:r>
    </w:p>
    <w:p>
      <w:r>
        <w:rPr>
          <w:b/>
        </w:rPr>
        <w:t>E. 7.3</w:t>
      </w:r>
    </w:p>
    <w:p>
      <w:r>
        <w:t>Me Jean-Michel Duc a droit à une rémunération pour ses opérations et débours (art. 122 al.1 let. a CPC). Il a produit, le 14 avril 2020, une liste des opérations indiquant 13 heures et 15 minutes de travail consacré à la procédure de deuxième instance, ainsi que des débours à hauteur de 10 fr. 60. Compte tenu de la nature de la cause et de ses difficultés en fait et en droit, la durée du temps de travail indiquée peut être admise. Au tarif horaire de 180 fr. (art. 2 al. 1 let. a RAJ [règlement sur l'assistance judiciaire en matière civile du 7 décembre 2010 ; BLV 211.02.3]), le défraiement de Me Duc pour ses honoraires doit ainsi être arrêté à 2'385 fr. (13,25 heures x 180 fr.), montant auquel il convient d’ajouter les débours par 10 fr. 60 et la TVA au taux de 7,7% sur le tout, par 184 fr. 45 (2'395 fr. 60 x 7,7%), ce qui équivaut à une indemnité d’office d’un montant total de 2'580 fr. 05, que l’on arrondira à 2'580 francs.</w:t>
      </w:r>
    </w:p>
    <w:p>
      <w:r>
        <w:rPr>
          <w:b/>
        </w:rPr>
        <w:t>E. 7.4</w:t>
      </w:r>
    </w:p>
    <w:p>
      <w:r>
        <w:t>Au vu de l’issue de la procédure d’appel, les frais judiciaires de deuxième instance, arrêtés à un montant arrondi de 2'475 fr. (art. 62 al. 1 TFJC [tarif des frais judiciaires civils du 28 septembre 2010 ; BLV 270.11.5]), seront mis à la charge de l’appelant (art. 106 al. 1 CPC), ce montant étant toutefois provisoirement assumé par l’Etat compte tenu de l’assistance judiciaire qui lui a été octroyée (art. 122 al. 1 let. b et 123 CPC).</w:t>
      </w:r>
    </w:p>
    <w:p>
      <w:r>
        <w:rPr>
          <w:b/>
        </w:rPr>
        <w:t>E. 7.5</w:t>
      </w:r>
    </w:p>
    <w:p>
      <w:r>
        <w:t>Le bénéficiaire de l’assistance judiciaire est, dans la mesure de l’art. 123 CPC, tenu au remboursement des frais judiciaires et de l’indemnité de son conseil d’office mis provisoirement à la charge de l’Etat.</w:t>
      </w:r>
    </w:p>
    <w:p>
      <w:r>
        <w:rPr>
          <w:b/>
        </w:rPr>
        <w:t>E. 7.6</w:t>
      </w:r>
    </w:p>
    <w:p>
      <w:r>
        <w:t>Il n’y a pas lieu d’allouer des dépens aux intimées, celles-ci n’ayant pas été invitées à se déterminer.</w:t>
      </w:r>
    </w:p>
    <w:p>
      <w:r>
        <w:rPr>
          <w:b/>
        </w:rPr>
        <w:t>E. 11</w:t>
      </w:r>
    </w:p>
    <w:p>
      <w:r>
        <w:t>février 2016, au témoignage du Dr I.________, ainsi qu'à l'expertise judiciaire réalisée par le Prof. S.________ –, l'accident du 2 avril 2014 aurait, à tout le moins, nettement aggravé ses atteintes à la santé et engendré d'importantes limitations fonctionnelles irréversibles ainsi qu'une invalidité totale et durable. L’appelant conteste dès lors l'avis de la Chambre patrimoniale cantonale selon lequel ses atteintes à la santé en lien avec l'accident d’avril 2014 avaient cessé de produire des effets à compter du 8 janvier 2015. 6.2 6.2.1 En vertu des principes généraux du droit, il suffit, pour qu'il y ait causalité naturelle (ou relation de cause à effet), que l'événement soit un chaînon nécessaire dans les circonstances ayant entraîné la lésion corporelle, sans lequel elle ne serait pas survenue ou ne se serait pas produite de la même manière. Il n'est pas nécessaire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(ATF 132 III 122 ; ATF 129 V 177 consid. 3.1 ; ATF 128 III 174 consid. 2b ; ATF 128 III 180 consid. 2d et les arrêts cités). 6.2.2 Lorsque la causalité naturelle est retenue, il faut encore se demander si le rapport de causalité peut être qualifié d'adéquat, c'est-à-dire si le comportement ou l'événement incriminé était propre, d'après le cours ordinaire des choses et l'expérience générale de la vie, à entraîner un résultat du genre de celui qui s'est produit. Cette question doit être examinée de cas en cas par le juge selon les règles du droit et de l'équité, conformément à l'art. 4 CC (ATF 131 IV 145 consid. 5.1 ; ATF 123 III 110 consid. 3a ; ATF 119 lb 334 consid. 5b). La causalité adéquate peut être exclue, c'est-à-dire interrompue, l'enchaînement des faits perdant alors sa portée juridique, lorsqu'une autre cause concomitante – la force majeure, la faute ou le fait d'un tiers ou encore de la victime – constitue une circonstance tout à fait exceptionnelle ou apparaît si extraordinaire que l'on ne pouvait pas s'y attendre. L'imprévisibilité d'un 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(ATF 130 III 182 ; ATF 122 IV 17 consid. 2c/bb et les arrêts cités ; TF 5C.18/2006 du 18 octobre 2006 consid. 4.1). En règle générale, des causes concomitantes du dommage, comme une prédisposition constitutionnelle du lésé – qui consiste dans un état pathologique antérieur à l'accident augmentant le dommage de manière fortuite –, ne sauraient interrompre le lien de causalité adéquate (ATF 113 II 86 consid. 1 b et les références citées ; ATF 80 II 348 ; ATF 66 II 165 consid. 4c). 6.2.3 Selon les circonstances, un état maladif antérieur peut en revanche être pris en considération dans le cadre des art. 42 à 44 CO, relatifs à la détermination du dommage et à la fixation du montant de l'indemnité. Si une simple faiblesse constitutionnelle n'entre pas en considération comme facteur de réduction, de véritables anomalies ou des affections préexistantes aiguës ou latentes peuvent réduire les prétentions du lésé ; en tant que prédispositions constitutionnelles, elles constituent en effet un fait concomitant qui peut influer sur le calcul du dommage (art. 42 CO) ou sur le montant des dommages-intérêts (art. 43 et 44 CO), qu'il s'agisse d'une cause concomitante du dommage ou d'un facteur aggravant les suites de l'accident (ATF 131 Ill 12 consid. 4 ; ATF 113 II 86 consid. 3 ; cf. ATF 80 II 348 ; ATF 66 II 165 consid. 4c). Parmi les cas de prédisposition constitutionnelle, la jurisprudence distingue, d'une part, ceux où, du fait de l'état maladif antérieur, le dommage se serait certainement ou très vraisemblablement réalisé même sans l'accident et, d'autre part, ceux où le dommage ne serait, selon toute probabilité, pas survenu sans l'accident (ATF 131 III 12 consid. 4 ; ATF 113 II 86 consid. 3b). Dans la première hypothèse, il faut tenir compte, dans le calcul du dommage selon l'art. 42 CO, des conséquences patrimoniales d'une atteinte à la santé préexistante qui se serait également produite sans l'événement dommageable ; en effet, seul le dommage qui résulte directement de cet événement peut être imputé au responsable, tandis que la part du préjudice liée à l'état préexistant doit être exclue du calcul du dommage réparable (ATF 131 III 12 consid. 4 ; ATF 113 II 86 consid. 3b ; cf. aussi ATF 102 II 33 consid. 3c et les arrêts cités). Dans la seconde hypothèse, le responsable sur le plan civil doit se voir imputer l'entier du préjudice, même si la prédisposition maladive en a favorisé la survenance ou augmenté l'ampleur. Toutefois, une réduction de l'indemnité sur la base de l'art. 44 CO pourra alors entrer en considération (ATF 131 III 12 consid. 4 et les références citées ; ATF 113 II 86 consid. 3b ; TF 4C.402/2006 du 27 février 2007 consid. 5.1, traduit au JdT 2007 I 543). La distinction présente une importance pratique en matière de droit préférentiel du lésé, qui tend à prémunir celui-ci contre les suites défavorables d'un dommage non couvert (ATF 131 III 12 consid. 4 et les arrêts cités). L'art. 44 al. 1 CO permet donc au juge de réduire les dommages-intérêts lorsqu'il apparaît inéquitable de mettre à la charge du responsable la réparation de la totalité du préjudice. Lorsque le dommage ne se serait selon toute probabilité pas produit sans l'accident, la prédisposition constitutionnelle ne suffit en principe pas à elle seule pour justifier une réduction des dommages-intérêts ; d'autres circonstances doivent intervenir, comme, par exemple, une disproportion manifeste entre la cause du dommage et l'importance de celui-ci (TF 4C.416/1999 du 22 février 2000 consid. 2c/aa, reproduit in Pra 2000 n° 154 p. 920 ; TF 4C.751/2004 du 16 novembre 2004 consid. 4). 6.3 En l'espèce, l'appelant souffre de lésions au coude et au genou. S'agissant du coude, il ne pourra plus retrouver une mobilité complète et sa limitation fonctionnelle est irréversible. Selon les médecins, il doit éviter de stresser inutilement sa prothèse et éviter de la soumettre à des efforts répétés, tels que par le port de charges inadéquates ou des activités nécessitant de la force, s'il veut la préserver. En ce qui concerne son genou, il est aussi prévisible qu'il ne retrouve pas une fonctionnalité complète. Ainsi, comme mentionné par le Dr I.________ lors de son témoignage, il doit être admis que l'appelant rencontre une invalidité totale et durable dans la profession pour laquelle il a été formé. Se pose alors la question de la prédisposition constitutionnelle de l'appelant en raison de l'accident survenu en 1997 déjà. Il convient de se demander si l'appelant subirait le même dommage sans l'accident d’avril 2014 ou si l'état constitutionnel antérieur n'a fait que favoriser la survenance du dommage ou en a augmenté l'ampleur, si bien que l'intimée doit en répondre sur un plan civil. Pour les premiers juges, il ressortait de la décision de la SUVA, confirmée par la Cour des assurances sociales et par le Tribunal fédéral en date du 26 novembre 2017, que l'accident du 2 avril 2014 avait cessé de produire des effets à compter du 8 janvier 2015. Ainsi, dès cette date, la prise en charge de l'incapacité de travail et du traitement médical de l’appelant ne concernait plus les suites de l'accident du 2 avril 2014 mais celles de l'accident du 1 er octobre 1997, de sorte que le lien de causalité entre le dommage y relatif et une prétendue violation du contrat de travail (pour K.________) ou un défaut d'entretien de l'ouvrage (pour O.________) était inexistant. On l'a vu, contrairement à ce qui est plaidé en appel, les novas introduits par l'intimée K.________ dans sa requête du 8 novembre 2017 ne sont pas tardifs (cf. supra consid. 3.2 ci-dessus). C'est dès lors à bon droit que les premiers juges se sont référés, s’agissant de la causalité, à l'appréciation de la SUVA, confirmée par la Cour des assurances sociales et, en dernier lieu, par le Tribunal fédéral. A cet égard, l'appelant ne peut pas se contenter de plaider que les juges ne sont pas liés par l'appréciation qui a été faite de la causalité dans le litige d'assurance sociale sans préciser en quoi il en irait différemment dans le cadre de la responsabilité civile. Certes, s'agissant du genou, le Dr I.________ a considéré que la chute de 2014 avait aggravé une situation prétéritée par l'accident de 1997 – comme l'a fait, en substance, le Prof. S.________ – et s'agissant du coude, le Prof C.________ a déclaré ne pas être en mesure de déterminer si l'accident d'avril 2014 avait causé ou seulement aggravé le descellement. Cela étant, le Dr A.B.________ a été questionné plus précisément sur la question de la causalité et il ressort clairement de sa réponse que celle-ci est inexistante. Ce médecin a en effet indiqué que l'accident du 2 avril 2014 avait engendré une contusion du condyle fémoral externe qui avait disparu à l'examen de contrôle du 14 octobre 2015 et que les signes de descellement du coude étaient présents avant l'accident précité et connus de longue date. Or, il faut se fier à l'expert qui a été mandaté précisément sur cette question de la causalité pour déterminer s'il y avait lieu d'avoir un regard critique à cet égard par rapport à l'appréciation de la SUVA, confirmée en dernier lieu par le Tribunal fédéral. Il convient ainsi de retenir, avec le Dr. A.B .________, que l'accident du 2 avril 2014 n'a pas entraîné de lésions structurelles autres que la contusion osseuse au genou droit et que les effets de cet accident étaient largement éteints à la date de définition de fin de prestation, soit le 8 janvier 2015. Il s’ensuit que le moyen est mal fondé, ce qui scelle le sort de l’appel.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