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468 vom 9. Juli 2020</w:t>
      </w:r>
    </w:p>
    <w:p>
      <w:r>
        <w:t>VD Tribunal cantonal, 2020-07-09, FR</w:t>
      </w:r>
    </w:p>
    <w:p>
      <w:r>
        <w:rPr>
          <w:b/>
        </w:rPr>
        <w:t xml:space="preserve">Quelle: </w:t>
      </w:r>
      <w:r>
        <w:t>https://mcp.opencaselaw.ch/entscheid/vd_findinfo_HC___2020___468</w:t>
      </w:r>
    </w:p>
    <w:p>
      <w:r>
        <w:t>FR: VD_FINDINFO HC / 2020 / 468 du 9 juillet 2020</w:t>
      </w:r>
    </w:p>
    <w:p>
      <w:r>
        <w:t>IT: VD_FINDINFO HC / 2020 / 468 del 9 luglio 2020</w:t>
      </w:r>
    </w:p>
    <w:p>
      <w:pPr>
        <w:pStyle w:val="Heading2"/>
      </w:pPr>
      <w:r>
        <w:t>Regeste</w:t>
      </w:r>
    </w:p>
    <w:p>
      <w:r>
        <w:t>OBLIGATION D'ENTRETIEN, RELATIONS PERSONNELLES, SURVEILLANCE{EN GÉNÉRAL}, VISITE | 163 CC, 273 CC, 285 al. 1 CC</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l'appel a été formé en temps utile et par une partie qui a un intérêt digne de protection (art. 59 al. 2 let. a CPC). Le litige portant sur le droit aux relations personnelles, de nature non pécuniaire, et sur les contributions d’entretien, de nature pécuniaire, il peut être considéré comme une contestation de nature non pécuniaire dans son ensemble (cf. notamment TF 5A_819/2016 du 21 février 2017 consid. 1 et les réf. citées), de sorte que l'appel est recevable indépendamment de la valeur litigieuse. La réponse l’est également. Il en va de même de la réplique (cf. ATF 142 III 48 consid. 4.1.1 et ATF 139 I 189 consid. 3.2), déposée pour répondre aux arguments de la réponse.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2è éd., nn. 2 ss ad art. 310 CPC, p. 1249).</w:t>
      </w:r>
    </w:p>
    <w:p>
      <w:r>
        <w:rPr>
          <w:b/>
        </w:rPr>
        <w:t>E. 2.3</w:t>
      </w:r>
    </w:p>
    <w:p>
      <w:r>
        <w:t>in limine ; TF 5A_497/2011 du 5 décembre 2011 consid. 3.2). La maxime inquisitoire illimitée de l’art. 296 CPC est applicable à toutes les procédures du droit de famille concernant le sort des enfants. Elle vaut ainsi, lorsque des questions relatives à l’enfant, y compris celles relatives à la contribution d’entretien, doivent être tranchées dans une procédure de mesures protectrices de l’union conjugale (TF 5A_645/2016 du 18 mai 2017 c. 3.2.3). Dans la mesure où l'établissement d'un fait est nécessaire pour déterminer la contribution d'entretien due aux enfants, la maxime inquisitoire illimitée de l'art. 296 al. 1 CPC lui est applicable même s'il sert ensuite aussi à fixer celle du conjoint (ATF 128 III 411 c. 3.2.2; TF 5A_245/2019 du 1er juillet 2019 c. 3.2.1). S’agissant des questions relatives aux enfants, la maxime d'office s'applique, en sus (art. 296 al. 2 CPC).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(ATF 143 III 297 c. 9.3.2; TF 4A_505/2012 du 6 décembre 2012 c. 4 ; TF 5A_470/2016 du 13 décembre 2016 c. 4.1.1 ; TF 5A_645/2016 du 18 mai 2017 c. 3.2.1). Tel est notamment le cas des procédures régies par les art. 272 et 296 CPC (TF 5A_792/2016 du 23 janvier 2017 c. 4.1 ; TF 5A_137/2017 du 29 juin 2017 c. 3.2).</w:t>
      </w:r>
    </w:p>
    <w:p>
      <w:r>
        <w:rPr>
          <w:b/>
        </w:rPr>
        <w:t>E. 3.1</w:t>
      </w:r>
    </w:p>
    <w:p>
      <w:r>
        <w:t>Les parties ont produit des pièces qui ne figuraient pas au dossier de première instance. En outre, l’appelante a également requis la production de diverses pièces, tandis que l’intimé a demandé son audition.</w:t>
      </w:r>
    </w:p>
    <w:p>
      <w:r>
        <w:rPr>
          <w:b/>
        </w:rPr>
        <w:t>E. 3.2</w:t>
      </w:r>
    </w:p>
    <w:p>
      <w:r>
        <w:t>L’instance d’appel peut revoir librement l'appréciation des faits sur la base des preuves administrées en première instance. En matière de mesures protectrices de l’union conjugale, ou en matière provisionnelle, elle statue, comme le premier juge, sur la base de la simple vraisemblance après une administration limitée des preuves (ATF 127 III 474 consid. 2b/bb ; TF 5A_661/2011 du 10 février 2012 consid. 2.3), en se fondant sur les moyens de preuve immédiatement disponibles (ATF 131 III 473 consid.</w:t>
      </w:r>
    </w:p>
    <w:p>
      <w:r>
        <w:rPr>
          <w:b/>
        </w:rPr>
        <w:t>E. 3.3</w:t>
      </w:r>
    </w:p>
    <w:p>
      <w:r>
        <w:t>La présente cause concerne les relations personnelles entre l'intimé et son fils, ainsi que la fixation de la contribution d'entretien de l'enfant et de l'intimé. La maxime inquisitoire illimitée régit l'établissement des faits du litige dans son ensemble. En conséquence, les pièces produites en appel par les parties sont recevables et il en a été tenu compte dans la mesure utile. En revanche, procédant à une appréciation anticipée, l'autorité de céans n'a pas donné suite aux mesures d'instruction requises par les parties. Comme on le verra ci-dessous, les éléments du dossier permettent de statuer. Les pièces supplémentaires requises ou l’audition de l’intimé n'auraient rien changé au sort de l'appel.</w:t>
      </w:r>
    </w:p>
    <w:p>
      <w:r>
        <w:rPr>
          <w:b/>
        </w:rPr>
        <w:t>E. 4</w:t>
      </w:r>
    </w:p>
    <w:p>
      <w:r>
        <w:t>L'appelante a pris des conclusions sur le sort de l'enfant.</w:t>
      </w:r>
    </w:p>
    <w:p>
      <w:r>
        <w:rPr>
          <w:b/>
        </w:rPr>
        <w:t>E. 4.1</w:t>
      </w:r>
    </w:p>
    <w:p>
      <w:r>
        <w:t>Elle a demandé qu'un mandat d'évaluation soit confié au SPJ en lien avec l'autorité parentale des parties, la garde sur l'enfant commun et les relations personnelles entre l'intimé et son enfant. L'appelante a également conclu à ce que le droit de visite de l'intimé soit exercé un week-end sur deux, pendant deux heures, exclusivement à l'intérieur des locaux du Point Rencontre ou un droit de visite médiatisé par l'intermédiaire du Trait d'Union.</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L'exercice du droit de visite peut être subordonné à différentes modalités, en particulier l'envoi des parents et/ou des enfants en thérapie, notamment lorsque ceux-ci souffrent de longue date d'un syndrome d'aliénation parentale (Meier, Droit de la filiation, 5e éd., p. 525). En outre, selon l'art. 307 al. 3 CC, l'autorité de protection de l'enfant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Aux termes de l'art. 308 al. 2 in fine CC, l'autorité de protection de l'enfant peut conférer au curateur la surveillance des relations personnelles. Le curateur désigné aura notamment pour mission d'intervenir entre les parents, d'aplanir leurs divergences et leurs tensions, d'éviter les influences négatives, de les conseiller et de les préparer aux visites (Meier, Pichonnaz/Foêx (édit.), Code civil 1, Commentaire romand, Bâle 2010, n. 32 ad art. 308 CC).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(TF 5A_53/2017 du 23 mars 2017 consid. 5.1 et les réf. cit.). Le retrait de tout droit à des relations personnelles constitue ainsi l’ultima ratio et ne peut être ordonné dans l’intérêt de l’enfant que si les effets négatifs des relations personnelles ne peuvent être maintenus dans des limites supportables pour l’enfant (TF 5A_478/2018 du 10 août 2018 consid. 5.2.1 ; TF 5A_53/2017 du 23 mars 2017 consid. 5.1 ; TF 5A_877/2013 du 10 février 2014 consid. 6.1 ;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w:t>
      </w:r>
    </w:p>
    <w:p>
      <w:r>
        <w:rPr>
          <w:b/>
        </w:rPr>
        <w:t>E. 4.3</w:t>
      </w:r>
    </w:p>
    <w:p>
      <w:r>
        <w:t>L'appelante critique la mesure à forme de l'art. 307 CC, ordonnée par le premier juge, le 14 février 2020, estimant qu'elle n’est pas suffisante. Elle a demandé une enquête par le SPJ, ainsi qu'un droit de visite surveillé au Point Rencontre ou médiatisé au Train d'Union. Les deux parties s’accusent mutuellement d’instrumentaliser l’enfant et la tension entre elles est vive, au vu notamment des plaintes pénales réciproques. Il est hautement vraisemblable que l’enfant soit mêlé au conflit et que les parties ne soient pas en mesure de garantir un droit de visite harmonieux et bénéfique à l’enfant (cf. notamment ordonnance entreprise, pp. 79-80 et courrier du SPJ du 28 août 2018). Par une nouvelle ordonnance du 27 mai 2020, rendue à la suite d'une nouvelle requête de mesures provisionnelles, le premier juge a relevé à juste titre qu'au vu des nombreuses difficultés observées, notamment l'important conflit de loyauté dans lequel se trouvait l'enfant [...], il s'imposait d'instaurer sans tarder une curatelle d'assistance éducative et de surveillance des relations personnelles au sens de l'art. 308 al. 1 et 2 CC en faveur de ce dernier et, par conséquent, de relever le SPJ de son mandat de surveillance éducative au sens de l'art. 307 al. 3 CC. Il a en outre ratifié la convention des parties qui prévoyait une thérapie de l'enfant, un droit de visite un week-end sur deux, ainsi qu'un mercredi ou un jeudi une semaine sur deux. A la suite de l'audience du 1 er mai 2020, le Service de psychiatrie pour enfants et adolescents (SEPA) a été mandaté pour suivre l'enfant [...]. Joane Eggenberger, assistante sociale pour la protection des mineurs auprès du SPJ, a été désignée curatrice d’assistance éducative, ayant pour mission notamment de veiller à la mise en place des suivis nécessaires à la protection et à la bonne évolution de l'enfant [...]. S'agissant du mandat de surveillance des relations personnelles au sens de l'art. 308 al. 2 CC, Me Marcel Paris, a été désigné curateur, sur proposition des parties, et a reçu le mandat de favoriser l'exercice du droit de visite de l'intimé sur son fils [...] et à veiller à ce que ledit droit de visite se déroule harmonieusement au regard de l'intérêt des parents et de l'enfant. Cette nouvelle réglementation du droit de visite est conforme aux intérêts de l'enfant. En effet, rien dans le dossier ne permet de considérer, sous l’angle de la vraisemblance en tout cas, que la présence de l’intimé auprès de son fils sans surveillance et au-delà d’une durée de deux heures constitue un danger pour le développement physique ou mental de l’enfant. Cela est d’autant moins vraisemblable que l’appelante a accepté lors de l’audience du 1 er mai 2020 que son fils passe un week-end sur deux auprès de son père et a en outre admis l’élargissement de ce droit de visite usuel à un jour de la semaine. Les faits allégués par l'appelante dans sa réplique tendant à rendre vraisemblable que l'exercice du droit de visite, après l'ordonnance de mesures provisionnelles du 27 mai 2020, met en péril le bon développement de l'enfant, sont donc contradictoires et doivent être rejetées. En effet, les nouvelles mesures ayant été ordonnées le 27 mai 2020, soit il y a un mois et demi seulement, il est prématuré d'affirmer qu'elles sont inefficaces et qu'elles doivent être remplacées par des mesures plus contraignantes. En vertu du principe de la subsidiarité, il n'y a pas lieu d'ordonner d'autres mesures avant que les curateurs récemment nommés aient eu le temps d'accomplir leur mandat d'assistance. Dans ces conditions, les mesures d'instruction requises (un rapport établi par la thérapeute de l'enfant ou un mandat d'évaluation à confier au SPJ) par l'appelante ne sont en l'état pas utiles. L'accord des parties conclu à l'audience du 1 er mai 2020, ratifié pour valoir ordonnance de mesures provisionnelle, porte sur les conclusions qui devaient faire l'objet de l'instruction. Aucune des parties ne remet en cause l'autorité parentale conjointe, ni l'attribution de la garde exclusive à la mère. Quant aux modalités du droit de visite, on vient de voir que la réglementation de garde prévue par la convention ratifiée le 27 mai 2020 est conforme aux intérêts de l'enfant. Les conclusions d'appel concernant le sort de l'enfant seront dès lors rejetées, sous réserve de la mesure à forme de l'art. 307 CC prévue au ch. IV de l'ordonnance entreprise qui sera supprimée d’office.</w:t>
      </w:r>
    </w:p>
    <w:p>
      <w:r>
        <w:rPr>
          <w:b/>
        </w:rPr>
        <w:t>E. 5.1</w:t>
      </w:r>
    </w:p>
    <w:p>
      <w:r>
        <w:t>L'appelante soutient que le premier juge n'a pas instruit la cause à satisfaction de droit. Elle lui reproche de ne pas avoir donné suite à sa réquisition tendant la production des pièces sur la capacité de travail de l'intimé et sur sa situation financière et de ne pas avoir retenu un revenu hypothétique à l'encontre de l'intimé, lequel aurait couvert l'entretien du fils des parties, ainsi que l'entretien de l'intimé.</w:t>
      </w:r>
    </w:p>
    <w:p>
      <w:r>
        <w:rPr>
          <w:b/>
        </w:rPr>
        <w:t>E. 5.2.1</w:t>
      </w:r>
    </w:p>
    <w:p>
      <w:r>
        <w:t>Le droit d'être entendu – qui comprend le droit à la preuve – étant de nature formelle, sa violation conduit à l'annulation de la décision attaquée, indépendamment des chances de succès du recours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Commentaire romand, CPC, précité,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w:t>
      </w:r>
    </w:p>
    <w:p>
      <w:r>
        <w:rPr>
          <w:b/>
        </w:rPr>
        <w:t>E. 5.2.2</w:t>
      </w:r>
    </w:p>
    <w:p>
      <w:r>
        <w:t>Selon l'art. 285 al. 1 CC (Code civil suisse du 10 décembre 1907 ; RS 210),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les références;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5A_806/2016 du 22 février 2017 consid. 4.1 et les références, publié in FamPra.ch 2017 p. 588; TF 5A_235/2016 du 15 août 2016 consid. 4.1; TF 5A_154/2016 du 19 mai 2016 consid. 5.1 et les références).</w:t>
      </w:r>
    </w:p>
    <w:p>
      <w:r>
        <w:rPr>
          <w:b/>
        </w:rPr>
        <w:t>E. 5.2.3</w:t>
      </w:r>
    </w:p>
    <w:p>
      <w:r>
        <w:t>Selon la jurisprudence, si le certificat médical ne constitue pas un moyen de preuve absolu quant à l'incapacité de travail qui y est constatée, la mise en doute de sa véracité suppose néanmoins des raisons sérieuses (TF 4A_289/2010 du 27 juillet 2010 consid. 3.2 ; TF 1C_64/2008 du 14 avril 2008 consid. 3.4 et les réf. citées ; CACI 29 décembre 2016/722 consid. 3.3.2). Même constatée médicalement, une incapacité de travail ne donne pas encore droit à une rente d'invalidité. Pour que l'on puisse tenir compte d'une telle rente sous l'angle d'un revenu hypothétique, il faut que le droit à l'indemnité soit établi ou, à tout le moins hautement vraisemblable (TF 5A_757/2013 du 14 juillet 2014 consid. 3.2 ; TF 5À_51/2007 du 24 octobre 2007 consid. 4.3.2). Le Tribunal fédéral considère que si aucun élément du dossier ne permet de retenir, au degré de preuve exigé par la jurisprudence, que les troubles dont souffre une partie à la procédure lui donnent droit à une rente d'invalidité, le fait que cette partie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 qu'attestée par des certificats médicaux, peut, selon les circonstances, suffire à admettre que l'intéressé ne peut effectivement trouver un emploi (cf. TF 5P.423/2005 du 27 février 2006 consid. 2.2.1 ; TF 5A_836/2015 du 8 avril 2016 consid. 5.2) (CACI 11 septembre 2019/494, consid. 4.2).</w:t>
      </w:r>
    </w:p>
    <w:p>
      <w:r>
        <w:rPr>
          <w:b/>
        </w:rPr>
        <w:t>E. 5.2.4</w:t>
      </w:r>
    </w:p>
    <w:p>
      <w:r>
        <w:t>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revanche, le juge des mesures provisionnelles ne doit pas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5A_366/2015 du 20 octobre 2015 consid. 2.1 ; TF 5A_973/2013 du 9 mai 2014 consid. 6.3.3 ; TF 5A_522/2011 du 18 janvier 2012 consid. 4.1 ; TF 5A_591/2011 du 7 décembre 2011 consid. 4.1.1 et les réf. citées ; TF 5A_502/2010 du 25 juillet 2011 consid. 3.2.1, in FamPra.ch 2011 n° 67 p. 993). Le principe du clean break ne joue par conséquent aucun rôle dans le cadre des mesures provisionnelles ordonnées au cours d’une procédure de divorce ou des mesures protectrices de l’union conjugale (TF 5A_745/2015 du 15 juin 2016 consid. 4.5.2.2), à plus forte raison lorsque le crédirentier ne couvre pas son minimum vital (CACI 3 mai 2019/243 consid. 3.5.3).</w:t>
      </w:r>
    </w:p>
    <w:p>
      <w:r>
        <w:rPr>
          <w:b/>
        </w:rPr>
        <w:t>E. 5.3.1</w:t>
      </w:r>
    </w:p>
    <w:p>
      <w:r>
        <w:t>En l'espèce, l'appelante fait valoir que sur la base des rapports établis par le détective privé, l'intimé ne souffre d'aucun problème physique qui l'empêcherait d'exercer une activité professionnelle. Ces rapports ne peuvent toutefois pas contredire efficacement des rapports motivés et établis par des médecins spécialistes. En effet, il résulte du certificat médical du médecin psychiatre et psychothérapeute, la Dresse Raharinivo Chochard, et de son " Résumé de prise en charge ", que l'intimé a été déclaré incapable de travailler au mois de novembre 2018 pour des raisons psychologiques et qu'au mois de février 2019 en tout cas, il suivait toujours une psychothérapie. L'intimé s'est par ailleurs adressé à son médecin traitant pour des douleurs provenant de son genou droit le gênant dans toutes activités avec des phénomènes d'épanchements répétitifs. En novembre 2019, Le Dr Lunebourg, médecin chef au Service de Chirurgie orthopédique, de traumatologie de l'appareil moteur et de chirurgie de la main, a examiné l'intimé. Il a attesté que celui-ci devait subir une intervention sur son genou, qu'une reprise de travail ne pouvait être exigée dans un délai de trois à six mois après l'opération et qu'une réorientation professionnelle était envisageable. D'après ce praticien, le bilan radiologique de l’intimé a démontré « une gonarthrose essentiellement bi-compartimentaire fémoro-tibial interne à un stade os contre os et fémoro-patellaire, une discrète chondropathie fémoro-tibiale externe ». L'intimé a été convoqué pour une intervention chirurgicale le 29 juillet 2020. L'appelante relève encore qu'une opération avait été envisagée au mois de février 2020. Il est vrai que cette opération a été annulée pour des raisons personnelles, évoquées dans le rapport du 11 mai 2020, mais non élucidées. Cependant, même si l'intimé avait été opéré au mois de février 2020, une activité lucrative ne pourrait être exigée de lui. Au vu du rapport médical du 4 novembre 2019, il faut toujours compter un délai de 3 à 6 mois après l'intervention chirurgicale, sans qu'il soit non plus rendu vraisemblable que l’intimé pourrait reprendre son ancienne activité. Le Dr. Lunebourg indique par ailleurs que l'opération en cause comporte un risque d'infection et des problèmes d'insatisfaction après la pose de la prothèse. L'appelante fait valoir que malgré les certificats médicaux au dossier, l'intimé a été vu en train de travailler. L'intimé ne le nie pas et a produit des pièces attestant le revenu qu'il avait réalisé et établissant qu'il avait déclaré officiellement ce revenu. Il a effectivement produit des relevés bancaires indiquant les montants versés par les entreprises clientes, les comptes faisant état de ses actifs et ses bénéfices en 2018 et 2019 et les décomptes TVA. Ces pièces sont suffisantes pour rendre vraisemblable le revenu et la fortune de l'intimé en 2018 et 2019, de sorte qu'il n'y a pas lieu de recueillir des pièces complémentaires. On peut certes relever que l'intimé a pu travailler alors qu'il était au bénéfice des certificats médicaux indiquant une incapacité de travail totale. Cela ne permet toutefois pas de considérer qu'on peut exiger de lui qu'il travaille aux dépens de sa santé. On déduit des rapports médicaux des 4 novembre 2019 et 11 mai 2020 que les médecins se sont entretenus avec l'intimé au sujet de son activité professionnelle de monteur en enseigne lumineuse et qu'ils l’ont rendu attentif au fait que la reprise du travail pouvait être compliquée. Dans ces circonstances, l'observation d'un détective privé, qui n'a pas décelé de problème de mobilité quelconque, ne suffit pas à retenir que l'intimé est en bonne santé. Sous l'angle de la vraisemblance, une activité professionnelle n'est pas raisonnablement exigible. Les pièces requises par l'appelante pour établir l'existence des rapports de travail entre l'intimé et les tiers ne sont dès lors pas utiles. Il s'ensuit que l'appréciation du premier juge, selon laquelle l'intimé ne dispose d'aucun revenu en l'état, est convaincante et doit être confirmée.</w:t>
      </w:r>
    </w:p>
    <w:p>
      <w:r>
        <w:rPr>
          <w:b/>
        </w:rPr>
        <w:t>E. 5.3.2</w:t>
      </w:r>
    </w:p>
    <w:p>
      <w:r>
        <w:t>Dans sa réplique et à l'appui de sa requête d'extrême urgence du 25 juin 2020, l'appelante fait valoir que l'intimé perçoit des prestations de l'aide sociale par 2'950 fr., de sorte qu'il percevrait 6'650 fr. (2'950 + 3'700 fr. de pension alimentaire) par mois. L'intimé ne serait plus dans le besoin et s'enrichirait au détriment de l'appelante. Cet argument n'est pas de nature à libérer l'appelante de son obligation d'entretien actuelle à l'égard de son époux. D'une part, il apparaît, à la lecture de la pièce produite par l'appelante, que l'intimé a reçu la somme de 2'950 fr. pour couvrir ses besoins vitaux au mois de mai 2020, sans qu'il soit rendu vraisemblable que ces prestations ont été prolongées. Il s'agit d'une prestation financière qui a été octroyée durant l'état de nécessité prononcé par le Conseil fédéral dans le cadre de la pandémie COVID-19. En tout état de cause, il n'y a pas lieu de tenir compte, dans les revenus du crédirentier, de l'aide que celui-ci perçoit de l'assistance publique, l'aide sociale étant subsidiaire par rapport aux obligations d'entretien du droit de la famille. Elle n'est due que lorsque les contributions d'entretien ne peuvent pas suffire (cf. De Luze/Page/Stoudmann, Droit de la famille, n. 1.48 ad art. 176 CC). La production des pièces tendant à établir que l’intimé avait requis (et/ou bénéficie) de l’aide sociale avant la reddition de l’ordonnance entreprise n’aurait rien changé au sort du présent appel. Il est également sans incidence que l’intimé n’ait pas déposé une demande de prestations de l’assurance-invalidité (cf. supra consid. 5.2.3 in fine).</w:t>
      </w:r>
    </w:p>
    <w:p>
      <w:r>
        <w:rPr>
          <w:b/>
        </w:rPr>
        <w:t>E. 5.3.3</w:t>
      </w:r>
    </w:p>
    <w:p>
      <w:r>
        <w:t>Dans la mesure où l'intimé n'a pas de revenu propre, il ne saurait être condamné à contribuer à l'entretien de son fils ni à son propre entretien. L'appelante n'a pas remis en cause en appel le montant de ses charges essentielles (3'076 fr. aussi longtemps qu'elle sera au chômage), telles que retenues par le premier juge. Quant à son revenu, elle a allégué que le montant de 8'872 fr. avait diminué, en produisant un seul décompte de chômage pour le mois de mai 2020 (pièce 7 à l’appui de la réplique). Ce décompte indique des indemnités totalisant 8'741 fr. 75, sous déduction de 905 fr. 20 des charges sociales, soit un revenu net de 7'836 fr. 55. Ce revenu doit d'abord couvrir le minimum vital de l'appelante (3'076 fr.), puis les coûts directs de l'enfant (853 fr. 80), de sorte qu'il y aurait un solde de 3'906 fr. 75. Ce montant permet encore de couvrir la contribution d'entretien en faveur de l'époux, fixée à 3'700 francs. L'appel est rejeté en tant qu'il vise à instaurer l'obligation d'entretien de l'époux et à remettre en cause la contribution d'entretien en faveur de ce dernier.</w:t>
      </w:r>
    </w:p>
    <w:p>
      <w:r>
        <w:rPr>
          <w:b/>
        </w:rPr>
        <w:t>E. 6</w:t>
      </w:r>
    </w:p>
    <w:p>
      <w:r>
        <w:t>Compte tenu du sort de l'appel sur ce point, la requête d'effet suspensif de l'appelante est sans objet.</w:t>
      </w:r>
    </w:p>
    <w:p>
      <w:r>
        <w:rPr>
          <w:b/>
        </w:rPr>
        <w:t>E. 7</w:t>
      </w:r>
    </w:p>
    <w:p>
      <w:r>
        <w:t>L’appelante a réitéré sa requête d’assistance judiciaire. L’intimé a également demandé l’assistance judiciaire.</w:t>
      </w:r>
    </w:p>
    <w:p>
      <w:r>
        <w:rPr>
          <w:b/>
        </w:rPr>
        <w:t>E. 7.1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ATF 141 III 369 consid. 4.1).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Colombini, Code de procédure civile, Condensé de la jurisprudence fédérale et vaudoise, n. 2.5.1 ad art. 117 CPC).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Il y aura également lieu de tenir compte des charges de loyer, des primes d’assurance obligatoires ou usuelles et des frais de transport nécessaires à l’acquisition du revenu établis par pièces, ainsi que de la charge fiscale, pour autant que ces sommes soient plus ou moins régulièrement payées (TF 4D_30/2015 du 26 mai 2015 consid. 3.1 ; TF 5A_328/2016 du 30 janvier 2017 consid. 4.2). En outre, la jurisprudence considère que l’assistance judiciaire n’est pas destinée à satisfaire indirectement et aux frais de la collectivité publique des créanciers qui ne contribuent pas ou plus à l’entretien courant du plaideur requérant (TF 6B_977/2018 du 10 octobre 2018 consid. 4 ; TF 4A_4/2019 du 7 mai 2019 consid. 4 ; Colombini, op. cit., 2.5.2 ad art. 117 CPC et les réf. citées). L’autorité compétente doit prendre en considération toutes les circonstances et apprécier la situation économique du requérant dans son ensemble, l’appréciation devant se faire à la date du dépôt de la requête (Tappy, op. cit., n. 21 ad art. 117 CPC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w:t>
      </w:r>
    </w:p>
    <w:p>
      <w:r>
        <w:rPr>
          <w:b/>
        </w:rPr>
        <w:t>E. 7.2</w:t>
      </w:r>
    </w:p>
    <w:p>
      <w:r>
        <w:t>En l’espèce, dans le cadre de l’assistance judiciaire, il y a lieu de calculer le minimum vital de la requérante de manière large. Ses charges s’élèvent en tous les cas à 7'967 fr. 30 (1'687 fr. 50 [soit 850 fr. majoré de 25%] + 1'275 fr. de frais de logement + 451 fr. de frais d’assurance maladie + 853 fr. 80 de contribution d’entretien pour son fils + 3'700 fr. de pension pour son époux), sans compter la charge fiscale. Au vu de son nouveau revenu de 7'836 fr. 55 à compter du mois de mai 2020, sa situation financière est déficitaire. En l’état du dossier, il s’avère qu’elle remplit la condition d’indigence. De plus, la cause n’était pas d’emblée dénuée de toute chance de succès. Cela justifie de reconsidérer la décision rendue le 17 mars 2020 et de lui accorder l’assistance judiciaire avec effet au 17 février 2020, Me Georges Raymond étant désigné comme son conseil d’office.</w:t>
      </w:r>
    </w:p>
    <w:p>
      <w:r>
        <w:rPr>
          <w:b/>
        </w:rPr>
        <w:t>E. 7.3</w:t>
      </w:r>
    </w:p>
    <w:p>
      <w:r>
        <w:t>L’intimé remplit également les conditions posées par l’art. 117 CPC. L’assistance judiciaire lui est accordée avec effet au 3 juin 2020, Me Franck-Olivier Karlen sera désigné en qualité de conseil d'office.</w:t>
      </w:r>
    </w:p>
    <w:p>
      <w:r>
        <w:rPr>
          <w:b/>
        </w:rPr>
        <w:t>E. 8</w:t>
      </w:r>
    </w:p>
    <w:p>
      <w:r>
        <w:t>En définitive, l’appelante succombe sur les conclusions relatives à la contribution d’entretien. En outre, on relève qu’elle aurait pu retirer purement et simplement les conclusions sur le sort de l’enfant dès l’instant où les parties avaient transigé devant le premier juge au mois de mai 2020. Partant, il se justifie de mettre la totalité des frais judiciaires de deuxième instance, arrêtés à 1’400 fr., soit 200 fr. pour l’ordonnance d’effet suspensif (art. 7 al. 1 et 60 TFJC [tarif des frais judiciaires civils du 28 septembre 2010 ; BLV 270.11.5] appliqués par analogie) et 1’200 fr. (art. 65 al. 4 TFJC) pour le présent arrêt, à sa charge. Ils seront laissés provisoirement à la charge de l’Etat, l’appelante plaidant au bénéfice de l’assistance judiciaire (art. 122 al. 1 let. b CPC). L’assistance judiciaire ne dispense pas de verser des dépens à la partie adverse (art. 118 al. 3 CPC). Compte tenu de l’importance de la cause, de ses difficultés, de l’ampleur du travail et du temps consacré à la procédure, les dépens peuvent être arrêtés à 2’500 fr. (art. 7 TDC [tarif des dépens en matière civile du 23 novembre 2010 ; BLV 270.11.6]). L’appelante qui succombe doit verser à l’intimé de pleins dépens de deuxième instance, soit 2’500 fr. correspondant au défraiement de son conseil, auquel s’ajoute un forfait de 2% au titre de débours nécessaires (art. 19 al. 2 TDC), par 50 fr., soit au total 2’550 francs.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Dans sa liste d’opérations, l’avocat Georges Reymond, conseil de l’appelante, a indiqué avoir consacré 25,95 heures à l’accomplissement de son mandat. En premier lieu, il a facturé 1,5 heure pour l’étude du dossier. Néanmoins, dès lors que ce conseil était déjà consulté au stade la procédure de première instance, il avait déjà une connaissance approfondie du dossier, de sorte que ce poste doit être retranché. L’avocat a en outre comptabilisé 1,45 heure pour la confection de plusieurs bordereaux de pièces. Ces postes doivent néanmoins être retranchés, s’agissant de pur travail de secrétariat (Juge délégué CACI 29 avril 2019/228 ; Juge délégué CACI 2 octobre 2017/437 conisd. 7.1 ; CACI 29 juin 2017/277 consid. 4.3 et les réf. citées). Les 12 courriers succincts, datés des 27 février, 31 mars, 7 avril, 11, 22 et 25 juin 2020, qui totalisent 3 heures, devront être ramenés à 10 minutes l’un, soit 2 heures au total. L’avocat a indiqué avoir consacré au total 8 heures à la rédaction de la réplique spontanée, y compris 1,5 heure d’étude du dossier le 17 juin 2020. Dès lors que la rédaction de l’appel n’a pris que 4 heures, il paraît excessif de comptabiliser le double pour une simple réplique spontanée et le temps consacré à cette écriture sera réduit à 3 heures. Enfin, le temps consacré à la seconde requête d’effet suspensif, facturé à hauteur de 2,5 heures, est excessif et doit être ramené à une heure. En définitive, on retiendra un temps total admissible consacré au dossier de 15,5 heures (25,95 – 10,45 [1,5 + 1,45 + 1 + 5 + 1,5]). Il s’ensuit qu’au tarif horaire de 180 fr., l’indemnité d’office de Me Reymond doit être fixée à 2’790 fr., montant auquel s’ajoutent les débours par 55 fr. 80 (2% de 2’790 fr. ; art. 3bis al. 1 RAJ) et la TVA sur le tout par 219 fr. 15, soit 3’064 fr. 95 au total. Dans sa liste des opérations, l’avocat Franck-Olivier Karlen, conseil de l’intimé, a indiqué avoir consacré 11h50 à l’accomplissement de son mandat. Il a notamment indiqué avoir consacré 5 minutes à l’ouverture du dossier. Toutefois, dès lors que Me Karlen était déjà le conseil de l’intimé devant le premier juge, ce poste ne se justifie pas et doit être retranché. Il en va de même des opérations liées à la réception de brefs courriers ou d’avis de la part du juge délégué de céans. En effet, ces courriers n’impliquent qu’une lecture cursive brève ne dépassant pas les quelques secondes (CACI 22 mars 2017/124 ; CCUR 29 novembre 2016/266 ; CREC 3 août 2016/301) et ne peuvent donc pas être rémunérés, ce qui implique de retrancher 30 minutes à ce titre. Enfin, il y a lieu de comptabiliser uniquement une heure pour les opérations à venir, y compris les opérations de clôture, et non 1h15. Au final, le temps à retrancher est de 50 minutes et l’activité totale admissible consacrée au dossier par l’avocat Franck-Olivier Karlen doit être arrêtée à 11 heures. Il s’ensuit qu’au tarif horaire de 180 fr., l’indemnité d’office de Me Karlen doit être fixée à 1’980 fr., montant auquel s’ajoutent les débours par 39 fr. 60 (2% de 1’980 fr. ; art. 3bis al. 1 RAJ) et la TVA sur le tout par 155 fr. 50, soit 2'175 fr. 10 au total. Les bénéficiaires de l’assistance judiciaire sont, dans la mesure de l’art. 123 CPC, tenus au remboursement des frais judiciaires et de l’indemnité à leurs conseils d’office respectifs, provisoirement laissés à la charge de l’Etat. Par ces motifs, le Juge délégué de la Cour d’appel civile prononce : I. L’appel est rejeté. II. L'ordonnance du 14 février 2020 est réformée d’office en ce sens que le chiffre IV de son dispositif est supprimé. L'ordonnance est confirmée pour le surplus. III. La nouvelle requête d'effet suspensif déposée le 25 juin 2020 par l’appelante B.K.________ est sans objet. IV. La requête de mesures superprovisionnelles et provisionnelles déposée les 24 et 31 mars 2020 par l’appelante est sans objet. V. La requête d’assistance judiciaire déposée par l’appelante est admise, Me Georges Raymond étant désigné en qualité de conseil d’office. VI. La requête d’assistance judiciaire déposée par l’intimé est admise, Me Franck-Olivier Karlen étant désigné en qualité de conseil d’office. VII. Les frais judiciaires de deuxième instance, arrêtés à 1’400 fr. (mille quatre cents francs), sont mis à la charge de l'appelante et laissés provisoirement à la charge de l’Etat. VIII. L'indemnité d'office de Me Georges Raymond, conseil de l’appelante, est arrêtée à 3’064 fr. 95 (trois mille soixante-quatre francs et nonante-cinq centimes), TVA et débours compris. IX. L'indemnité d'office de Me Frank-Olivier Karlen, conseil de l’intimé, est arrêtée à 2'175 fr. 10 fr. (deux mille cent septante-cinq francs et dix centimes), TVA et débours compris. X. Les bénéficiaires de l'assistance judiciaire sont, dans la mesure de l'art. 123 CPC, tenus au remboursement des frais judiciaires et des indemnités aux conseils d'office laissés à la charge de l'Etat. XI. L'appelante B.K.________ doit verser à l’intimé A.K.________ la somme de 2'550 fr. (deux mille cinq cent cinquante francs) à titre de dépens de deuxième instance. XII. L’arrêt est exécutoire. Le juge délégué : La greffière : Du Le présent arrêt, dont la rédaction a été approuvée à huis clos, est notifié en expédition complète à : ‑ Me Georges Raymond, avocat (pour B.K.________) ‑ Me Franck-Olivier Karlen, avocat (pour A.K.________)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