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452 vom 24. August 2020</w:t>
      </w:r>
    </w:p>
    <w:p>
      <w:r>
        <w:t>VD Tribunal cantonal, 2020-08-24, FR</w:t>
      </w:r>
    </w:p>
    <w:p>
      <w:r>
        <w:rPr>
          <w:b/>
        </w:rPr>
        <w:t xml:space="preserve">Quelle: </w:t>
      </w:r>
      <w:r>
        <w:t>https://mcp.opencaselaw.ch/entscheid/vd_findinfo_HC___2020___452</w:t>
      </w:r>
    </w:p>
    <w:p>
      <w:r>
        <w:t>FR: VD_FINDINFO HC / 2020 / 452 du 24 août 2020</w:t>
      </w:r>
    </w:p>
    <w:p>
      <w:r>
        <w:t>IT: VD_FINDINFO HC / 2020 / 452 del 24 agosto 2020</w:t>
      </w:r>
    </w:p>
    <w:p>
      <w:pPr>
        <w:pStyle w:val="Heading2"/>
      </w:pPr>
      <w:r>
        <w:t>Regeste</w:t>
      </w:r>
    </w:p>
    <w:p>
      <w:r>
        <w:t>LÉGITIMATION ACTIVE ET PASSIVE, MODIFICATION DES CIRCONSTANCES, INCAPACITÉ DE TRAVAIL, OBLIGATION D'ENTRETIEN | 179 CC, 289 al. 2 CC</w:t>
      </w:r>
    </w:p>
    <w:p>
      <w:pPr>
        <w:pStyle w:val="Heading2"/>
      </w:pPr>
      <w:r>
        <w:t>Erwägungen</w:t>
      </w:r>
    </w:p>
    <w:p>
      <w:r>
        <w:rPr>
          <w:b/>
        </w:rPr>
        <w:t>E. 1.1</w:t>
      </w:r>
    </w:p>
    <w:p>
      <w:r>
        <w:t>L'appel est recevable contre les ordonnances de mesures provisionnelles, dans les causes non patrimoniales ou dont la valeur litigieuse est de 10'000 fr. au moins (art. 308 al. al. 1 let. b et al. 2 CPC [Code de procédure civile du 19 décembre 2008 ; RS 272]). Les ordonnances de mesures provisionnelles étant régies par la procédure sommaire (art. 271 let. a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 a été formé en temps utile par une partie disposant d’un intérêt digne de protection (art. 59 al. 2 let. a CPC) et porte sur des conclusions qui, capitalisées selon l'art. 92 al. 2 CPC, sont supérieures à 10'000 fr., si bien qu’il est recevable.</w:t>
      </w:r>
    </w:p>
    <w:p>
      <w:r>
        <w:rPr>
          <w:b/>
        </w:rPr>
        <w:t>E. 2.1</w:t>
      </w:r>
    </w:p>
    <w:p>
      <w:r>
        <w:t>Dans le cadre de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L’art. 296 al. 1 CPC prévoit une maxime inquisitoire illimitée en ce qui concerne les questions relatives aux enfants (TF 5A_608/2014 du 16 décembre 2014 consid. 4.2.1, citant l’arrêt TF 5A_2/2013 du 6 mars 2013 consid. 4.2 et les réf. citées,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Commentaire romand, Code de procédure civile, CPC commenté, Bâle 2019 2 e éd. [ci-après : CR-CPC], n. 5 ad art. 272 CPC ; Bohnet, op. cit., nn. 29 s. ad art. 276 CPC ; TF 5A_608/2014 du 16 décembre 2014 consid. 4.2.1 ; TF 5A_194/2012 du 8 mai 2012 consid. 4.2 ; Juge délégué CACI 20 février 2015/136 consid. 3). En l’espèce, la cause concerne aussi un enfant mineur, de sorte que la maxime inquisitoire illimitée et la maxime d’office sont applicables.</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En l’espèce, la présente cause est soumise à la maxime inquisitoire illimitée. Partant, les pièces produites par l’appelant et par l’intimée sont recevables, indépendamment de la question de savoir si leur production réalise les conditions de l’art. 317 al. 1 CPC.</w:t>
      </w:r>
    </w:p>
    <w:p>
      <w:r>
        <w:rPr>
          <w:b/>
        </w:rPr>
        <w:t>E. 3.1</w:t>
      </w:r>
    </w:p>
    <w:p>
      <w:r>
        <w:t>L’appelant remet en question le montant des contributions en faveur de son enfant C.________ et de son épouse Z.________, concluant à être libéré de tout versement, au vu de sa situation financière. L’intimée conclut à l’irrecevabilité de l’appel car celui-ci aurait dû être dirigé également contre l’EVAM, ce qui n'a pas été le cas en l'espèce. Compte tenu de l'incidence que cette problématique de légitimation pourrait avoir sur la cause, il se justifie de la traiter préalablement.</w:t>
      </w:r>
    </w:p>
    <w:p>
      <w:r>
        <w:rPr>
          <w:b/>
        </w:rPr>
        <w:t>E. 3.2.1</w:t>
      </w:r>
    </w:p>
    <w:p>
      <w:r>
        <w:t>L’art. 289 CC a pour objet le paiement de la contribution d’entretien due à l’enfant et prévoit que celles-ci sont dues à l’enfant et sont versées durant sa minorité à son représentant légal ou au parent qui en assume la garde, sauf si le juge en décide autrement (art. 289 al. 1 CC). Selon l’art. 289 al. 2 CC, la prétention à la contribution d'entretien passe avec tous les droits qui lui sont rattachés à la collectivité publique lorsque celle-ci assume l'entretien de l'enfant, c’est-à-dire lorsqu’elle avance les contributions d’entretien par des prestations d’aide sociale afin de pallier aux carences du débiteur d’entretien (Pellaton in : CPra-Droit matrimonial, n. 36 ad art. 131 CC). Cette disposition crée un cas de subrogation légale au sens de l'art. 166 CO (ATF 143 III 177 consid. 6.3.1; ATF 123 III 161 consid. 4b et les réf. citées ; TF 5A_694/2019 du 24 février 2020 consid. 4.2.1 ; TF 5A_634/2013 du 12 mars 2014 consid. 4.1, publié in SJ 2014 I 389). Il inclut aussi bien les prestations futures dont il est établi qu'elles devront être avancées que celles versées par le passé (ATF 143 III 177 consid. 6.3.2 ; ATF 137 III 193 consid. 3.6 ss, spéc. consid. 3.8 ; TF 5A_634/2013 précité consid. 4.1).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 TF 5A_847/2018 du 6 décembre 2019 consid. 4.1.2 ; TF 5A_634/2013 précité consid. 4.1 et réf. citées). Si le débiteur ne le fait pas, le juge de la modification de la contribution ne peut inviter la collectivité publique à participer à la procédure, le Code de procédure civile ne prévoyant pas cette possibilité (ATF 143 III 177 consid. 6.3.5 ; TF 5A_634/2013 précité consid. 4.2).</w:t>
      </w:r>
    </w:p>
    <w:p>
      <w:r>
        <w:rPr>
          <w:b/>
        </w:rPr>
        <w:t>E. 3.2.2</w:t>
      </w:r>
    </w:p>
    <w:p>
      <w:r>
        <w:t>Aux termes de l’art. 27 LARA (Loi sur l'aide aux requérants d'asile et à certaines catégories d'étrangers ; BLV 142.21), le demandeur d'asile qui a déposé ou qui dépose une demande de prestations d'assurances sociales ou privées ou d'avances sur pensions alimentaires en informe sans délai l'établissement. Si les prestations d'assurance sont octroyées rétroactivement, le bénéficiaire est tenu de rembourser les prestations perçues au titre de l'assistance durant la période concernée. L'établissement est subrogé dans les droits du demandeur d'asile à concurrence du coût des prestations qu'il a fournies (art. 27 al. 2 LARA).</w:t>
      </w:r>
    </w:p>
    <w:p>
      <w:r>
        <w:rPr>
          <w:b/>
        </w:rPr>
        <w:t>E. 3.3</w:t>
      </w:r>
    </w:p>
    <w:p>
      <w:r>
        <w:t>A l’appui de sa demande unilatérale de divorce du 29 mai 2018, l’intimée a produit une attestation (pièce 3), laquelle indique qu’elle et son fils C.________ sont assistés financièrement par l’EVAM, à tout le moins depuis le 28 mars 2018. La contribution de l’enfant C.________ a été fixée par jugement du 24 juillet 2019 et confirmé par l’arrêt de la Cour de céans du 24 septembre 2019. Or, il ne ressort pas des décomptes produits par l’intimée (cf. pièces 103 et 104) que l’EVAM effectuerait des avances sur la contribution d’entretien due à l’enfant. Cet établissement effectue bien plutôt une prise en charge totale (financière et en nature) de l’intimée et son enfant, indépendamment de toute contribution d’entretien. En cas de non-paiement de la contribution d’entretien, il appartenait à l’intimée de saisir le Bureau de recouvrement et d’avances sur pensions alimentaires (BRAPA) (art. 27 al. 1 LARA), ce qu’elle n’a pas fait. Dans ces conditions, l’art. 289 al. 2 CC ne trouve pas application, de sorte que l’appelant n’avait pas à attraire l’EVAM dans le cadre de la procédure de première instance et de la procédure d’appel.</w:t>
      </w:r>
    </w:p>
    <w:p>
      <w:r>
        <w:rPr>
          <w:b/>
        </w:rPr>
        <w:t>E. 4.1.1</w:t>
      </w:r>
    </w:p>
    <w:p>
      <w:r>
        <w:t>L’appelant reproche au premier juge d’avoir retenu que son incapacité de travail n’était pas un fait nouveau qui justifiait de revoir sa situation financière. Il critique l’appréciation du magistrat selon laquelle son incapacité de travail n’était pas durable étant donné que sa demande AI n’avait pas été traitée. A ce sujet, il soutient qu’il est notoire que les demandes AI prennent plusieurs mois, voire plusieurs années, avant qu’une décision définitive soit rendue, de sorte qu’il n’y a pas lieu d’attendre une telle décision. De toute manière, il estime que la décision AI n’est pas décisive pour établir son incapacité de travail, des certificats médicaux étant suffisants. Il fait valoir que c’est à tort que le premier juge a considéré que son incapacité de travail s’était terminée le 31 octobre 2019 puisqu’il a indiqué à l’audience du 5 novembre 2019 que son incapacité se prolongeait et qu’il appartenait au président de requérir un certificat médical actualisé en vertu de la maxime inquisitoire. Pour sa part, l’intimée soutient que l’incapacité de travail de l’appelant ne constitue pas un fait nouveau, dans la mesure où cette incapacité de travail aurait dû être invoquée par l’appelant dans le cadre de la précédente procédure d’appel, en usant de son droit inconditionnel de réplique dans le délai de dix jours depuis le dépôt de la réponse du 20 août 2019. De plus, elle relève que les troubles d’origine psychique de l’appelant avaient déjà été mis en évidence dans le rapport d’expertise psychiatrique du 7 mars 2018 (déposé dans le cadre de la procédure pénale), et que des problèmes de santé avaient déjà été invoqués par l’appelant dans son appel du 5 août 2019, de sorte que, pour ce motif également, l’incapacité de travail de l’appelant n’est pas un fait nouveau. Elle prétend ensuite que, faute de certificat médical pour le mois de novembre, il doit être considéré que l’appelant était apte à travailler à cette période. Elle estime également que le dépôt d’une demande AI ne suffit pas à démontrer une incapacité de travail.</w:t>
      </w:r>
    </w:p>
    <w:p>
      <w:r>
        <w:rPr>
          <w:b/>
        </w:rPr>
        <w:t>E. 4.1.2</w:t>
      </w:r>
    </w:p>
    <w:p>
      <w:r>
        <w:t>U ne fois ordonnées, les mesures provisionnelles dans le cadre de l'action en divorce pendante ne peuvent être modifiées qu'aux conditions de l'art. 179 CC (TF 5A_937/2014 du 26 mai 2015 consid. 4 ; TF 5A_33/2015 du 28 avril 2015 consid. 4.1 ; TF 5A_131/2014 du 27 mai 2014 consid. 2.1).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(TF 5A_866/2013 du 16 avril 2014 consid. 3.1; TF 5A_245/2013 du 24 septembre 2013 consid. 3.1; TF 5A_101/2013 du 25 juillet 2013 consid. 3.1; TF 5A_400/2012 du 25 février 2013 consid. 4.1). Les faits nouveaux,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(ATF 143 III 42 consid. 5.4 ; TF 5A_22/2014 du 13 mai 2014 consid. 4.3). Les faits et moyens de preuves nouveaux (vrais ou pseudo nova ) qui surviennent jusqu’au début de la phase de délibérations de l’instance supérieure peuvent encore être introduits en appel, aux conditions de l’art. 317 al. 1 CPC. (ATF 142 III 413 consid. 4.2).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5A_33/2015 du 28 avril 2015 consid. 4.1; TF 5A_153/2013 du 24 juillet 2013 consid. 2.1; TF 5A_147/2012 du 26 avril 2012 consid. 4.2.1), car la procédure de modification n'a pas pour but de corriger le premier jugement, mais de l'adapter aux circonstances nouvelles (ATF 131 III 189 consid. 2.7.4 [au sujet de l'art. 129 CC]). Le caractère durable des faits nouveaux est admis dès que l’on ignore la durée qu’ils auront (Chaix, op. cit., n. 4 ad art. 179 CC). Ainsi, est essentiel et durable un changement significatif et non temporaire survenu postérieurement à la date à laquelle la décision a été rendue (TF 5A_571/2018 du 14 septembre 2018 consid. 5.1.1).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ATF 137 III 604 consid. 4.1.2 ; TF 5A_937/2014 du 26 mai 2015 consid. 4 et 6.1.2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4.2).</w:t>
      </w:r>
    </w:p>
    <w:p>
      <w:r>
        <w:rPr>
          <w:b/>
        </w:rPr>
        <w:t>E. 4.1.3</w:t>
      </w:r>
    </w:p>
    <w:p>
      <w:r>
        <w:t>Le premier juge est parvenu à la conclusion que la situation de l’appelant ne s’était pas modifiée puisque la demande AI n’avait pas encore été traitée, de sorte que l’incapacité de l’appelant n’était pas durable. En outre, il a relevé que l’intéressé n’avait pas réactualisé ses certificats médicaux et que, par conséquent, selon les certificats médicaux au dossier, l’incapacité de travail s’était terminée le 31 octobre 2019. De plus, le président ignorait si la demande AI avait été déposée par le médecin traitant de l’appelant et si oui, à quelle date. Au vu de l’incertitude quant au caractère durable de la modification de la situation de l’appelant, il a considéré que l’incapacité de travail n’était pas un fait nouveau qui justifiait de revoir la situation financière de l’appelant.</w:t>
      </w:r>
    </w:p>
    <w:p>
      <w:r>
        <w:rPr>
          <w:b/>
        </w:rPr>
        <w:t>E. 4.1.4</w:t>
      </w:r>
    </w:p>
    <w:p>
      <w:r>
        <w:t>En l’espèce, la question de savoir si l’appelant aurait dû invoquer son incapacité de travail dans le cadre de la précédente procédure d’appel peut rester ouverte, dans la mesure où le premier juge ne s’est pas fondé sur l’incapacité de travail de l’appelant pour admettre l’existence d’un fait nouveau. En effet, le magistrat a considéré que le fait que l’appelant vivait avec son épouse et leurs deux enfants constituait un fait nouveau qui commandait de réexaminer la question de la contribution d’entretien due à l’enfant C.________. Or, une fois qu’il est admis que les circonstances ayant prévalu lors du prononcé de mesures provisionnelles se sont modifiées de manière notable et durable, le juge doit réexaminer le montant de la contribution d’entretien, après avoir actualisé tous les éléments pris en compte pour le calcul dans le prononcé précédent. Dès lors qu’il n’est pas contesté que l’appelant vivrait avec sa compagne dans un nouveau logement, dont le loyer s’élève à 2'665 fr. – l’intimée critiquant uniquement le montant de ce loyer et plaidant l’imputation d’un loyer hypothétique –, il y a lieu de réactualiser la situation financière des parties et, dans ce cadre, d’examiner si l’appelant est en mesure de réaliser un revenu hypothétique de 4'950 francs. Il ressort des certificats médicaux, tous établis par le Dr  V.________, psychiatre-psychothérapeute, que l’appelant est en incapacité de travail totale depuis le 23 août 2019, soit depuis plus de neuf mois lors de l’audience d’appel du 10 juin 2020, et ce pour une durée indéterminée. De plus, une demande AI a été déposée et le traitement de celle-ci est actuellement en cours. Si l’on ne saurait reprocher au premier juge d’avoir considéré que la situation médicale de l’appelant n’était pas encore établie au jour de l’audience du 5 novembre 2019, en raison notamment de l’absence de certificat médical depuis le 31 octobre 2019, il convient de constater que l’incapacité de travail de l’appelant est désormais durable et qu’elle l’a été sans interruption (cf. attestation du 29 janvier 2020). En outre, l’incapacité de travail de l’appelant est corroborée par des certificats médicaux, tous établis par le même médecin-psychiatre, et dont l’intimée – qui d’ailleurs a invoqué les troubles de la personnalité de l’appelant dans la procédure de première instance pour s’opposer fermement à ce que ce dernier puisse voir son fils C.________ – ne rend pas vraisemblable qu’ils seraient dénués de force probante. Cela vaut d’autant plus que le rapport d’expertise du</w:t>
      </w:r>
    </w:p>
    <w:p>
      <w:r>
        <w:rPr>
          <w:b/>
        </w:rPr>
        <w:t>E. 4.2.1</w:t>
      </w:r>
    </w:p>
    <w:p>
      <w:r>
        <w:t>L’appelant conclut à ce que la contribution d’entretien de l’enfant C.________ soit réduite à 450 fr. par mois à compter du 1 er février 2019 et soit supprimée avec effet au 1 er août 2020.</w:t>
      </w:r>
    </w:p>
    <w:p>
      <w:r>
        <w:rPr>
          <w:b/>
        </w:rPr>
        <w:t>E. 4.2.2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consid. 6, in FamPra.ch. 2013 p. 480 ; TF 5A_ du 28 octobre 2010, FamPra.ch. 2011 p. 199 no 7 ; ATF 117 II 368 consid. 4c). Cette dernière situation suppose que le crédirentier, sur la base d'indices objectivement sérieux, ait pu compter pendant la durée de la procédure avec le maintien du jugement d'origine ; il s'agit ainsi d'un régime d'exception (TF 5A_461/2011 du 14 octobre 2011 consid. 5.1, in SJ 2012 I 148 ; TF 5A_ 651/2014 du 27 janvier 2015 consid.4.1.2). A l'inverse, il est arrivé au Tribunal fédéral de relever que certains auteurs admettent que le juge peut aussi, dans des circonstances très exceptionnelles, retenir une date antérieure au dépôt de la requête (ATF 111 II 103 consid. 4 ; TF 5A_894/2010 du 15 avril 2011 consid. 6.2 ; TF 5A_856/2009 du 16 juin 2010 consid. 3 ; TF 5A_485/2008 du 1 er décembre 2008 consid. 2.2 ; TF 5A_340/2008 du 12 août 2008 consid. 5.1). Au titre de ces « circonstances très exceptionnelles » (« ganz besondere Gründe »), le Tribunal fédéral cite le domicile inconnu ou à l’étranger du débiteur, le comportement d’une partie contraire à la bonne foi, ou encore la grave maladie de l’ayant-droit (ATF 111 II 103 consid. 4).</w:t>
      </w:r>
    </w:p>
    <w:p>
      <w:r>
        <w:rPr>
          <w:b/>
        </w:rPr>
        <w:t>E. 4.2.3</w:t>
      </w:r>
    </w:p>
    <w:p>
      <w:r>
        <w:t>En l’occurrence, l’appelant conclut à la réduction de la pension due à son fils C.________ dès le 1 er février 2019, soit à une période antérieure aux faits nouveaux allégués et également antérieure au prononcé des mesures provisionnelles du 24 juillet 2019 dont l’appelant requiert la modification. Or, la procédure en modification n’a pas pour but de corriger la première décision, de sorte qu’il n’y a pas lieu de prévoir une réduction rétroactive de la pension de l’enfant C.________ à une date antérieure à l’arrêt d’appel du 24 septembre 2019. En outre, s’agissant de la date, à savoir le 1 er aout 2019, à partir de laquelle l’appelant requiert la suspension de la contribution d’entretien, celui-ci n’expose pas de manière convaincante pour quelle raison exceptionnelle il y aurait lieu de s’écarter de la règle générale qui prévoit que la modification prend effet au plus tôt à la date du dépôt de la requête en modification. Il ne ressort pas des certificats médicaux de l’appelant que celui-ci était en incapacité de travail le 1 er août 2019. Par ailleurs, si tel était le cas, il appartenait à l’appelant de faire valoir ce fait dans le cadre du dépôt de son appel du 5 août 2019. Dans ces conditions, la contribution d’entretien due par H.________ à son fils C.________ sera supprimée à compter du 1 er novembre 2019, premier jour du mois objet de la conclusion reconventionnelle en ce sens auprès du premier juge. 5. 5.1 L’appelant soutient qu’il ne perçoit pas de revenus en raison de son incapacité de travail et que, pour ce motif, aucune contribution d’entretien n’est due en faveur de son épouse. 5.2 Il ressort de l’examen effectué ci-dessus (cf. supra consid. 4.1.4) que l’appelant est en incapacité de travail totale et qu’il est au bénéfice du revenu d’insertion. Il n’est ainsi pas en mesure de contribuer à l’entretien de son épouse, sans qu’il soit nécessaire d’examiner les autres griefs soulevés par l’appelant en lien avec ses charges. L’ordonnance entreprise sera également modifiée sur ce point, aucune contribution d’entretien n’étant allouée en faveur de l’épouse dès le 1 er novembre 2019. 6. 6.1 Aux termes de l'art. 106 al. 1 et 2 CPC, les frais sont mis à la charge de la partie succombante ; lorsqu'aucune des parties n'obtient entièrement gain de cause, les frais sont répartis selon le sort de la cause. Le tribunal a la faculté, en application de l'art. 107 al. 1 let. c CPC, de s'écarter des règles générales et de répartir les frais selon sa libre appréciation dans les affaires relevant du droit de la famille. 6.2 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S’agissant des dépens, vu la nature du litige (art. 107 al. 1 let. c CPC), les dépens de première instance peuvent être compensés. 6.3 En appel, l’appelant l’emporte sur le principe de la suppression des contributions d’entretien mises à sa charge. Il succombe en revanche sur la question du dies a quo . Dans ces conditions et au vu de la nature du litige (art. 107 al. 1 let. c CPC), les frais judiciaires de deuxième instance, arrêtés à 600 fr. (art. 65 al. 2 [Tarif des frais judiciaires civils du 28 septembre 2010 ; BLV 270.11.5]), seront répartis par moitié entre les parties en équité (art. 107 al. 1 let. c CPC). Toutefois, dès lors que chaque partie est au bénéfice de l’assistance judiciaire, la part des frais judiciaires respectivement mise à leur charge sera provisoirement laissée à la charge de l’Etat (art. 122 al. 1 let. b CPC). Quant aux dépens, ils seront compensés. 6.4 En leur qualité de conseils d'office, Me Elie Elkaïm, conseil d’office de H.________ et Me Jérôme Campart, conseil d’office de Z.________,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6.4.1 S’agissant du montant de l’indemnité due au conseil d’office de l’appelant, Me Elie Elkaim a déposé une liste de ses opérations le 11 juin 2020 faisant état d’un temps consacré au dossier de 14,75 heures (soit 14 heures et 45 minutes). Compte tenu de la nature et des difficultés de la cause, ce nombre d’heures apparaît excessif et doit être réduit. En effet, le temps annoncé pour la rédaction de l’appel (recherches juridiques et étude du dossier comprises), soit de 7 heures et 10 minutes, apparaît trop important compte tenu de la connaissance du dossier de première instance par le mandataire et du fait que l’appel ne soulevait pas de questions juridiques complexes. Ce temps doit être réduit à 5 heures et 30 minutes. Par ailleurs, le temps consacré à l’établissement d’un bordereau par 30 minutes ne sera pas pris en compte, s’agissant d’un pur travail de secrétariat (Juge délégué CACI 2 octobre 2017/437 consid. 7.1 ; CACI 29 juin 2017/277 consid. 4.3 et les réf. citées). Le temps consacré à la préparation de l’audience d’appel, par 2 heures et 30 minutes, sera également réduit à 1 heure. En définitive, le temps de travail admissible pour l’exécution de ce mandat est fixée à 11 heures et 5 minutes, ce qui est déjà largement compté.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Au tarif horaire de 180 fr. (art. 2 al. 1 let. a et b RAJ), l’indemnité d’office de Me Elkaim doit ainsi être arrêtée à 1'995 fr. pour les honoraires, débours par 39 fr. 90 (2% x 1'995 fr. ; art. 3bis al. 1 RAJ), 120 fr. à titre de forfait de vacation (art. 3 bis al. 3 RAJ) et TVA sur le tout par 165 fr. 95 (2'154 fr. 90 x 7,7%) non compris, ce qui équivaut à la somme totale arrondie de 2'321 fr. (1'995 fr. + 39 fr. 90 + 120 fr. + 165 fr. 95). Le bénéficiaire de l’assistance judiciaire est, dans la mesure de l’art. 123 CPC, tenu au remboursement des frais judiciaires et de l’indemnité de son conseil d’office, mis provisoirement à la charge de l’Etat. 6.4.2 En ce qui concerne le montant de l’indemnité due au conseil d’office de l’intimée, la liste de ses opérations du 10 juin 2020 déposée par Me Jérôme Campart fait état d’un temps consacré au dossier de 14 heures. Compte tenu de la nature et des difficultés de la cause, ce nombre d’heures apparaît également excessif et doit être réduit. Seules 4 heures seront retenues pour la rédaction de la réponse, au vu de son contenu. En outre, le nombre d’échanges de lettres (1 heure et 18 minutes) et de téléphones (27 minutes) entre l’intimée et son conseil, apparaissent excessifs, ce d’autant plus qu’une conférence de 55 minutes a également été annoncée. Si le nombre de téléphones est justifié par des difficultés de compréhension de l’intimée, on ne saurait en revanche retenir l’ensemble des courriers, le temps y étant consacré sera réduit à 18 minutes. En outre, le temps consacré à la préparation de l’audience d’appel, par deux heures et 30 minutes, recherches juridiques en lien avec la question de la subrogation (art. 289 al. 2 CC) incluses, sera également réduit à 1 heure et 30 minutes. Par conséquent, le temps de travail admissible pour l’exécution de ce mandat est fixée à 11 heures. L’indemnité d’office de Me Campart doit ainsi être arrêtée à 1'980 fr. pour les honoraires, débours par 39 fr. 60 (2% x 1'980 fr. ; art. 3bis al. 1 RAJ), 120 fr. à titre de forfait de vacation (art. 3 bis al. 3 RAJ) et TVA (2'139 fr. 60 x 7,7%) sur le tout par 164 fr. 75 non compris, ce qui équivaut à la somme arrondie de 2'305 fr. au total (1980 fr. + 39 fr. 60 + 120 fr. + 164 fr. 75). La bénéficiaire de l’assistance judiciaire est, dans la mesure de l’art. 123 CPC, tenue au remboursement des frais judiciaires et de l’indemnité de son conseil d’office, mis provisoirement à la charge de l’Etat. Par ces motifs, le Juge délégué de la Cour d’appel civile prononce : I. L’appel est partiellement admis. II. L’ordonnance de mesures provisionnelles du 17 janvier 2020 est réformée aux chiffres I et II de son dispositif comme il suit : I. Dit qu’aucune contribution d’entretien n’est due par H.________ en faveur de Z.________. II. Dit que H.________ est libéré du paiement de toute contribution d’entretien en faveur de l’enfant C.________ dès le 1 er novembre 2019. L’ordonnance est confirmée pour le surplus. III. Les frais judiciaires de deuxième instance, arrêtés à 600 fr. (six cents francs), sont mis par moitié à la charge de chacune des parties et laissés provisoirement à la charge de l’Etat. IV. L'indemnité d'office de Me Elie Elkaim, conseil de l’appelant H.________, est arrêtée à 2'321 fr. (deux mille trois cent vingt et un francs), débours et TVA compris. V. L'indemnité d'office de Me Jérôme Campart, conseil de l’intimée Z.________, est arrêtée à 2'305 fr. (deux mille trois cent cinq francs), débours et TVA compris. VI. Les bénéficiaires de l'assistance judiciaire sont, dans la mesure de l'art. 123 CPC, tenus au remboursement des frais judiciaires et de l'indemnité au conseil d'office provisoirement laissés à la charge de l'Etat. VII. Les dépens de deuxième instance sont compensés. VIII. L’arrêt est exécutoire. Le juge délégué : La greffière : Du Le présent arrêt, dont la rédaction a été approuvée à huis clos, est notifié en expédition complète à : ‑ Me Elie Elkaim (pour H.________), ‑ Me Jérôme Campart (pour Z.________),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mars 2018, effectué dans le cadre de la procédure pénale, a mis en évidence un trouble de l’adaptation ainsi qu’un trouble mixte de la personnalité avec des traits paranoïaques et impulsifs. Au vu de ce qui précède, il y a lieu de constater que l’appelant est en incapacité de travail totale depuis le 23 août 2019. Il n’est donc pas en mesure de réaliser le revenu hypothétique imputé à hauteur de 4'950 francs. L’appelant ne perçoit actuellement pas de prestations d’une assurance sociale et il est au bénéfice du revenu d’insertion (cf. pièce 5). Il n’est donc plus en mesure de contribuer à l’entretien de son fils C.________, sans qu’il soit nécessaire d’examiner les autres griefs soulevés en lien avec les charges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