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2020 / 443 vom 19. August 2020</w:t>
      </w:r>
    </w:p>
    <w:p>
      <w:r>
        <w:t>VD Tribunal cantonal, 2020-08-19, FR</w:t>
      </w:r>
    </w:p>
    <w:p>
      <w:r>
        <w:rPr>
          <w:b/>
        </w:rPr>
        <w:t xml:space="preserve">Quelle: </w:t>
      </w:r>
      <w:r>
        <w:t>https://mcp.opencaselaw.ch/entscheid/vd_findinfo_HC___2020___443</w:t>
      </w:r>
    </w:p>
    <w:p>
      <w:r>
        <w:t>FR: VD_FINDINFO HC / 2020 / 443 du 19 août 2020</w:t>
      </w:r>
    </w:p>
    <w:p>
      <w:r>
        <w:t>IT: VD_FINDINFO HC / 2020 / 443 del 19 agosto 2020</w:t>
      </w:r>
    </w:p>
    <w:p>
      <w:pPr>
        <w:pStyle w:val="Heading2"/>
      </w:pPr>
      <w:r>
        <w:t>Regeste</w:t>
      </w:r>
    </w:p>
    <w:p>
      <w:r>
        <w:t>LOYER ABUSIF, LOYER INITIAL, RENDEMENT NET, LOYER USUEL, FORMULE OFFICIELLE, DÉFAUT DE LA CHOSE | 256 al. 1 CO, 259d CO, 269 CO, 269a CO, 270 CO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résulte de ce qui précède que l'appel doit être rejeté selon le mode procédural de l’art. 312 al. 1 CPC et le jugement entrepris confirmé. Les frais judiciaires de deuxième instance, arrêtés à 1'894 fr. (art. 62 al. 1 TFJC [tarif des frais judiciaires civils du 28 septembre 2010, RSV 270.11.5]), seront mis à la charge de l'appelante, qui succombe (art. 106 al. 1 CPC). Il n'y a pas lieu d'allouer de dépens aux intimés, qui n’ont pas été invités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