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437 vom 2. Juni 2020</w:t>
      </w:r>
    </w:p>
    <w:p>
      <w:r>
        <w:t>VD Tribunal cantonal, 2020-06-02, FR</w:t>
      </w:r>
    </w:p>
    <w:p>
      <w:r>
        <w:rPr>
          <w:b/>
        </w:rPr>
        <w:t xml:space="preserve">Quelle: </w:t>
      </w:r>
      <w:r>
        <w:t>https://mcp.opencaselaw.ch/entscheid/vd_findinfo_HC___2020___437</w:t>
      </w:r>
    </w:p>
    <w:p>
      <w:r>
        <w:t>FR: VD_FINDINFO HC / 2020 / 437 du 2 juin 2020</w:t>
      </w:r>
    </w:p>
    <w:p>
      <w:r>
        <w:t>IT: VD_FINDINFO HC / 2020 / 437 del 2 giugno 2020</w:t>
      </w:r>
    </w:p>
    <w:p>
      <w:pPr>
        <w:pStyle w:val="Heading2"/>
      </w:pPr>
      <w:r>
        <w:t>Regeste</w:t>
      </w:r>
    </w:p>
    <w:p>
      <w:r>
        <w:t>RELATIONS PERSONNELLES, VISITE, OBLIGATION D'ENTRETIEN | 273 al. 1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Le litige portant sur le droit aux relations personnelles, de nature non pécuniaire, et sur les contributions d’entretien, de nature pécuniaire, il peut être considéré comme une contestation de nature non pécuniaire dans son ensemble (cf. notamment TF 5A_819/2016 du 21 février 2017 consid. 1 et les réf. citées).</w:t>
      </w:r>
    </w:p>
    <w:p>
      <w:r>
        <w:rPr>
          <w:b/>
        </w:rPr>
        <w:t>E. 1.3</w:t>
      </w:r>
    </w:p>
    <w:p>
      <w:r>
        <w:t>En l’espèce, recevable à la forme et déposé en temps utile par une partie qui a un intérêt digne de protection (art. 59 al. 2 let. a CPC), dirigé contre une décision de première instance de mesures protectrices de l'union conjugale dans une cause non patrimoniale et non visée par l’art. 309 CPC, l’appel est recevable. Dans la mesure où la maxime d’office s’applique (cf. infra consid. 2), la conclusion tendant à l’extension du droit de visite de l’intimée sera examinée, même si l’intimée n’était pas autorisée à formuler des conclusions actives dans sa réponse ou après celle-ci (art. 314 al. 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w:t>
      </w:r>
    </w:p>
    <w:p>
      <w:r>
        <w:t>La présente cause concerne le sort d’un enfant, en particulier les modalités de sa prise en charge pratique et financière, de sorte que ce sont la maxime inquisitoire illimitée et la maxime d’office qui s’appliquent. En conséquence, les pièces produites en appel par les parties sont recevables et il en a été tenu compte dans la mesure utile.</w:t>
      </w:r>
    </w:p>
    <w:p>
      <w:r>
        <w:rPr>
          <w:b/>
        </w:rPr>
        <w:t>E. 3.1</w:t>
      </w:r>
    </w:p>
    <w:p>
      <w:r>
        <w:t>L’appelant demande que le droit de visite de l’intimée s’exerce par l’intermédiaire d’un Point Rencontre. L’intimée s’y oppose et réclame un droit de visite comprenant une nuitée.</w:t>
      </w:r>
    </w:p>
    <w:p>
      <w:r>
        <w:rPr>
          <w:b/>
        </w:rPr>
        <w:t>E. 3.2.1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w:t>
      </w:r>
    </w:p>
    <w:p>
      <w:r>
        <w:rPr>
          <w:b/>
        </w:rPr>
        <w:t>E. 3.2.2</w:t>
      </w:r>
    </w:p>
    <w:p>
      <w:r>
        <w:t>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Confronté à l'opinion tranchée d'un enfant ayant atteint cet âge et avec le degré de maturité correspondant, le juge doit motiver une éventuelle décision contraire (Meier/Stettler, Droit de la filiation, 6e éd., 2019, n. 704, p. 473).</w:t>
      </w:r>
    </w:p>
    <w:p>
      <w:r>
        <w:rPr>
          <w:b/>
        </w:rPr>
        <w:t>E. 3.3</w:t>
      </w:r>
    </w:p>
    <w:p>
      <w:r>
        <w:t>L’appelant soutient que l’intimée serait capable de violence auto et hétéro-agressive et qu’elle dénigrerait l’appelant lors de l’exercice du droit de visite, ce qui placerait l’enfant dans un grave conflit de loyauté. En outre, le droit de visite serait une source d’angoisse et de stress pour l’enfant, si bien qu’il conviendrait d’instaurer un droit de visite s’exerçant au Point Rencontre. Les allégations de l’appelant sont contredites par l’intimée. En outre, on notera que l’appelant a caché au premier juge qu’il avait un nouveau travail depuis le mois d’août 2019, ce qui amène à douter sérieusement de la crédibilité de ses propos. Il reste à examiner si d’autres éléments au dossier rendent vraisemblables les dires de l’appelant. Dans le certificat médical du 1 er juillet 2019, le Dr [...] indique que l’enfant avait développé des crises d’angoisse à l’idée de croiser sa mère en France. Ce praticien rapporte toutefois les propos de l’appelant, dont les déclarations sont sujettes à caution. En outre, on ne peut rien déduire des déclarations écrites contradictoires et émanant des proches des parties. Par ailleurs, les propos que l’enfant a tenus devant la psychologue [...] ou devant le Dr [...] ne sont pas non plus suffisants pour rendre vraisemblable que la présence de la mère est source d’angoisse et de stress chez l’enfant. On relèvera que les rapports au dossier ne donnent pas la version des faits de la mère. Par ailleurs, l’enfant étant âgé de 7 ans seulement et étant pris dans un fort conflit de loyauté, selon les constatations du SPJ, ses propos peuvent avoir été influencés par la volonté de plaire au parent avec lequel il vit, soit l’appelant. Cela est d’autant plus vraisemblable qu’au vu du rapport du SPJ, l’appelant ne semble pas favoriser la relation personnelle entre l’enfant et sa mère, en refusant de répondre notamment aux messages qui concernent les modalités du droit de visite. Cette attitude peut empêcher l’enfant d’exprimer librement sa volonté. Le Dr [...], dans son rapport du 27 janvier 2020, conclut certes que les modalités des visites chez la mère ont des répercussions négatives sur l’état psychologique d’I.________. La psychologue [...] a également constaté qu’au lendemain d’un week-end de visite, l’enfant avait une grande fatigue physique et psychique. Il résulte des ordonnances de mesures superprovisionnelles des 11 et 25 juin, et celle du 5 juillet 2019, que l’enfant était auprès de sa mère samedi de 8 heures à 17 heures, puis le lendemain de 14 heures à 18 heures. Dans la mesure où les parties ne résident pas dans la même localité, cela impliquait quatre trajets de trente-cinq minutes chacun. Cela a naturellement épuisé physiquement l’enfant et a pu engendrer un stress émotionnel, l’enfant devant à chaque fois quitter sa mère, sans avoir eu le temps de développer une relation harmonieuse avec elle. On peut dès lors admettre, ainsi que les professionnels l’ont indiqué, que les modalités du droit de visite étaient épuisantes et stressantes. Sur la base de ce constat, l’ordonnance attaquée a réduit le droit de visite de la mère à un jour de week-end, soit le samedi de 8 heures à 17 heures ou le dimanche de 8 heures à 17 heures. Cependant, aucun rapport au dossier n’explique concrètement de quelle manière l’enfant serait en danger chez sa mère si elle devait y passer la nuit de samedi à dimanche. D’ailleurs, l’appelant lui-même ne reproche pas à l’intimée des comportements de maltraitance ou de négligence à l’égard de sa fille. Dans le courrier de son conseil du 20 avril 2020, il n’affirme pas que l’intimée serait à l’origine des marques rouges figurant dans le dos de sa fille. Les photographies produites, dont on ignore la date et l’endroit de leur prise, ne permettent pas non plus à elles seules de retenir que l’enfant aurait subi des violences physiques lorsqu’il était en visite chez sa mère. A l’audience d’appel, l’appelant a déclaré ignorer le comportement de l’intimée à l’égard de sa fille aujourd’hui. Il ressort de ses déclarations, qu’il craint seulement que sa fille vive des scènes de violence comme celles qu’il aurait vécu lui-même. Les éléments au dossier ne suffisent ainsi pas à rendre vraisemblable qu’un contact prolongé, comprenant une nuit, entre l’intimée et sa fille serait nuisible au bien-être de celle-ci. Certes, il est établi que l’enfant souffre de la situation familiale et que la tension entre ses parents est très vive. Toutefois, les conflits entre les parents ne constituent pas un motif de restreindre le droit de visite, dans la mesure où il n’est en l’état pas rendu vraisemblable que la mère mette en péril le développement physique ou psychique de sa fille et où l’intimée, contrairement à l’appelant, collabore avec le SPJ dans l’intérêt de l’enfant. Dans ces circonstances, la réduction des relations personnelles, tel qu’un droit de visite exercé un seul jour du week-end ou la mise en place d’un Point Rencontre, n’est pas la solution. On relèvera d’ailleurs que le manque de contact entre la mère et l’enfant est en soi de nature à créer un mal-être psychique chez ce dernier et qu’on ne peut pas exclure que l’enfant souffre de l’éloignement de sa mère depuis le 10 mai 2019. En définitive, rien ne s’oppose en l’état à ce qu’un droit de visite usuel soit accordé à l’intimée. L’intimée aura donc sa fille auprès d’elle un week-end sur deux, du samedi à 8 heures au dimanche à 17 heures, transports à sa charge. 4. 4.1 L’appelant soutient que l’intimée n’épuiserait pas sa capacité maximale de gain de travail pour subvenir à l’entretien de son enfant. 4.2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5A_946/2018 du</w:t>
      </w:r>
    </w:p>
    <w:p>
      <w:r>
        <w:rPr>
          <w:b/>
        </w:rPr>
        <w:t>E. 5</w:t>
      </w:r>
    </w:p>
    <w:p>
      <w:r>
        <w:t>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130 III 585 consid. 2.2.1 et les réf. citées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w:t>
      </w:r>
    </w:p>
    <w:p>
      <w:r>
        <w:rPr>
          <w:b/>
        </w:rPr>
        <w:t>E. 6</w:t>
      </w:r>
    </w:p>
    <w:p>
      <w:r>
        <w:t>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5A_1046/2018 du 3 mai 2019 consid. 4.3 et les références; TF 5A_946/2018 précité consid. 3.1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 TF 5A_933/2015 du 23 février 2016 consid. 6.1 ; TF 5A_782/2016 du 31 mai 2017 consid. 5.3), pour autant qu'ils soient pertinents par rapport aux circonstances d'espèce (TF 5A_112/2013 du 25 mars 2013 consid. 4.1.3 ; TF 5A_461/2019 du 6 mars 2020 consid. 3, FamPra.ch 2020 p. 488). Les revenus résultant du « salarium » sont des revenus bruts, dont on peut déduire des charges sociales par 13,225% au total (CACI 26 août 2016/473 ; Juge délégué CACI 6 avril 2020/135). 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(ATF 144 III 481 consid. 4.7.6).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(ibid., consid. 4.7.9; TF 5A_978/2018 du 15 avril 2019 consid. 4.1; TF 5A_931/2017 du 1 er novembre 2018 consid. 3.1.2). Par ailleurs, dans le cadre de mesures protectrices de l’union conjugale, le conjoint n’est pas tenu de travailler plus que le taux d’occupation exigible (par exemple 50%). Un éventuel surplus de salaire doit lui revenir entièrement, sans être pris en considération pour la fixation de l’entretien. Ce principe vaut lorsque les revenus (sans le surplus) des époux suffisent à couvrir les besoins familiaux des deux ménages, mais pas lorsque la famille est en situation de manque (TF 5A_816/2014 du 3 mars 2015 consid. 2.3). La prise en compte d'un revenu hypothétique n'est possible en principe que pour l'avenir, sous réserve de l'admission d'un abus de droit manifeste au sens de l'art. 2 CC (Juge délégué CACI 29 août 2011/216; Kassationsgericht Zürich, 16.02.2009, AA080124 (ZH), FamPra.ch 2009 p. 228 ss). 4.3 L’appelant se prévaut du Salarium de l’OFS pour soutenir que l’intimée pourrait travailler à 80 % (34 heures par semaine) comme employée sommelière à Neuchâtel et gagner un revenu mensuel de 4'010 fr., qui lui permettrait de contribuer à l’entretien de sa fille par une contribution mensuelle de 515 francs. Il ressort de l’instruction que l’intimée a la garde de deux autres enfants mineurs : M.________, né le 10 février 2004 et âgé de 16 ans, et W.________, né le 5 mars 2008, âgé de 12 ans. On déduit de la loi neuchâteloise du 28 mars 1984 sur l'organisation scolaire (LOS ; RSN [Recueil systématique neuchâtelois] 410.10) que la scolarité obligatoire débute à quatre ans révolus, respectivement à cinq ans révolu si l’enfant est né après le 31 juillet, et que le degré de secondaire commence à l’âge de 12 ou 13 ans révolus (art. 1a, 21 et 22 LOS). L’enfant W.________ ayant manifestement débuté le degré du secondaire, c’est une activité maximale de 80 % qui serait exigible de l’intimée. Cependant, au vu des circonstances de l’espèce, ce taux est excessif. En effet, selon ses déclarations non contredites en audience, l’intimée doit s’occuper seule de M.________, dont le père est parti au Japon en 2019. De plus, il est rendu vraisemblable que W.________ a besoin de nombreux suivis psychologiques et que l’intimée doit l’accompagner dans ce cadre, étant relevé que l’origine de ces problèmes psychologiques est sans pertinence pour la présente cause. Dans ces circonstances, un taux de 80 % n’apparaît pas compatible avec les obligations familiales de l’intimée. C’est un taux maximal de 50 % qui peut être exigé d’elle. Il est sans incidence que l’intimée travaille à 60 % et qu’elle envisage d’augmenter sa capacité de gain de 20 %. Il reste qu’on ne peut pas exiger d’elle, en l’état, qu’elle augmente sa capacité de gain pour subvenir aux besoins de sa fille, alors qu’elle a une charge familiale importante et que la situation financière de l’appelant est favorable, comme on le verra ci-dessous. Cela étant, il ressort du Salarium de l’OFS, qu’une employée sommelière, dans le canton de Neuchâtel, sans fonction de cadre, effectuant 21,25 heures par semaine (soit 50%) gagne un salaire mensuel brut moyen de 2'341 fr., soit 2'031 fr. 41 net (2'341 fr. sous déduction de 309 fr. 59 [2'341 fr. x 13,225 %] de charges sociales). Dès lors que l’appelant admet que les charges de l’intimée, à elles seules, ne sont pas inférieures à 2'431 fr. 80, il est manifeste qu’un revenu mensuel net de 2'031 fr. 41 ne permettrait pas de couvrir le minimum vital de l’intimée. Le moyen de l’appelant est infondé et doit être rejeté. 5. L’appelant soutient que sur le revenu de l’intimée de 2'800 fr., le premier juge a refusé à tort d’ajouter des pourboires à concurrence de 200 fr. et de réduire les frais d’acquisition du revenu de l’intimée à 50 francs. Pour l’appelant, le revenu de l’intimée s’élève à 3'008 fr., au lieu de 2'800 fr. retenu par le premier juge, et ses charges à 2'431 fr. 80, au lieu de 2'581 fr. 80. L’intimée disposerait d’un disponible de 576 fr. 20. Sur ce point, le premier juge a considéré que les allégations de l’appelant en ce qui concernaient les pourboires n’avaient pas été rendues vraisemblables, alors qu’il paraissait vraisemblable que l’intimée dépensait 200 fr. à titre de frais d’acquisition du revenu. L’appelant n’expose pas en quoi cette motivation serait erronée. De plus, ses moyens ne sont pas fondés au vu du certificat de salaire relatif à l’année 2019 indiquant un salaire mensuel net de 2'675 fr. 26 (32'103 fr. 20/12), qui est inférieur au salaire de 2'800 fr. admis par l’intimée. On peut en déduire que l’intimée admet un salaire qui comprend déjà des pourboires. S’agissant des frais d’acquisition du revenu, il ressort des éléments du dossier, notamment de la déclaration d’impôt, que l’intimée avait des frais de transport et de repas. De toute manière, depuis l’année 2020, l’intimée ne gagne que 2'200 fr. brut (ou 2'106 fr. net) en moyenne. Ce montant ne couvre pas les charges essentielles de l’intimée, même si on devait faire abstraction des frais professionnels, par 200 francs. S’y ajoute qu’on ignore les coûts directs des deux autres enfants mineurs de l’intimée, en particulier ceux de M.________, pour lequel l’intimée ne reçoit aucune contribution d’entretien de la part du père. En réalité, la situation financière de l’intimée est encore plus précaire qu’elle n’apparaît. La situation financière de l’appelant est en revanche nettement plus favorable que celle de l’intimée. En effet, son disponible mensuel s’élevait à 1'395 francs 80 (3'988 fr. – 2'592 fr. 20) avant de travailler pour [...]. Avec son nouveau salaire mensuel brut de 6'175 fr. (5'700 fr. x 13/12), son salaire mensuel net peut être estimé à 5'358 fr. 36 (6'175 fr. – 816 fr. 64 [13,225 % de charges sociales]). S’agissant de ses charges, il n’y a pas lieu de tenir compte des frais de recherches d’emploi dès l’instant où le requérant a trouvé un travail chez [...]. Ses charges peuvent être estimées à 2'442 fr. 20 (2'592 fr. 20 – 150 fr.) et son disponible mensuel à 2'916 fr. 16 (5'358 fr. 36 – 2'442 fr. 20). Au vu de ce qui précède, l’intimée ne saurait être astreinte à contribuer financièrement à l’entretien de sa fille.</w:t>
      </w:r>
    </w:p>
    <w:p>
      <w:r>
        <w:rPr>
          <w:b/>
        </w:rPr>
        <w:t>E. 7</w:t>
      </w:r>
    </w:p>
    <w:p>
      <w:r>
        <w:t>Au vu de ce qui précède, l’appel doit être rejeté. L’ordonnance entreprise sera réformée d’office à son chiffre III en ce sens que l’intimée bénéficiera d’un droit de visite sur sa fille, à exercer à raison d’un week-end sur deux, transports à sa charge, du samedi à 8 heures au dimanche à 17 heures. L’ordonnance sera confirmée sur le surplus.</w:t>
      </w:r>
    </w:p>
    <w:p>
      <w:r>
        <w:rPr>
          <w:b/>
        </w:rPr>
        <w:t>E. 7.1.1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ATF 141 III 369 consid. 4.1).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Colombini, Code de procédure civile, Condensé de la jurisprudence fédérale et vaudoise, n. 2.5.1 ad art. 117 CPC).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Il y aura également lieu de tenir compte des charges de loyer, des primes d’assurance obligatoires ou usuelles et des frais de transport nécessaires à l’acquisition du revenu établis par pièces, ainsi que de la charge fiscale, pour autant que ces sommes soient plus ou moins régulièrement payées (TF 4D_30/2015 du 26 mai 2015 consid. 3.1 ; TF 5A_328/2016 du 30 janvier 2017 consid. 4.2). En outre, la jurisprudence considère que l’assistance judiciaire n’est pas destinée à satisfaire indirectement et aux frais de la collectivité publique des créanciers qui ne contribuent pas ou plus à l’entretien courant du plaideur requérant (TF 6B_977/2018 du 10 octobre 2018 consid. 4 ; TF 4A_4/2019 du 7 mai 2019 consid. 4 ; Colombini, op. cit., 2.5.2 ad art. 117 CPC et les réf. citées). L’autorité compétente doit prendre en considération toutes les circonstances et apprécier la situation économique du requérant dans son ensemble, l’appréciation devant se faire à la date du dépôt de la requête (Tappy, op. cit., n. 21 ad art. 117 CPC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w:t>
      </w:r>
    </w:p>
    <w:p>
      <w:r>
        <w:rPr>
          <w:b/>
        </w:rPr>
        <w:t>E. 7.1.2</w:t>
      </w:r>
    </w:p>
    <w:p>
      <w:r>
        <w:t>Le 29 mai 2020, l’appelant a déposé une liste d’opérations. A supposer que cette liste puisse suppléer le dépôt d’une requête d’assistance judiciaire en bonne et due forme, ce qui est douteux, une telle requête devrait être rejetée. Dans le cadre de l’assistance judiciaire, les charges de l’appelant, calculées de manière large, s’élèvent à 2'779 fr. 70 ([1'350 fr. x 125%] + 714 fr. + 278 fr. 20 + 100 fr.). Avec un revenu mensuel net de 5’358 fr. 36 (cf. consid. 6.3 supra), l’appelant bénéficie d’un disponible mensuel de 2'578 fr. 66. Même en tenant compte de la charge représentée par l’entretien de sa fille (515 fr.), l’appelant disposerait d’un excédent de 2'063 fr. 66 (2'578 fr. 66 – 515 fr.) par mois, qui est largement suffisant pour amortir les frais judiciaires et d’avocat sur une durée inférieure à une année, la présente cause étant simple. La condition d’indigence n’est dès lors pas remplie, ce qui justifie le refus de l’assistance judiciaire.</w:t>
      </w:r>
    </w:p>
    <w:p>
      <w:r>
        <w:rPr>
          <w:b/>
        </w:rPr>
        <w:t>E. 7.2</w:t>
      </w:r>
    </w:p>
    <w:p>
      <w:r>
        <w:t>Dans sa liste d'opérations, Me Marthe a allégué avoir consacré 18,16 heures (18 heures et 10 minutes) à la présente procédure d’appel, pour la période concernée par les opérations liées à la réponse. Cette durée est excessive. En effet, le conseil de l’intimée avait une connaissance approfondie du dossier, étant déjà consulté au stade de la procédure de première instance, de sorte qu’il n’avait pas besoin de consacrer beaucoup de temps à la préparation de l’audience d’appel. Cela d’autant moins que d’autres opérations, antérieures à l’audience, lui avaient permis de préparer cette audience (lors de la rédaction de la réponse et lors des entretiens avec le client avant l’audience d’appel). Il y a dès lors lieu de retrancher les opérations relatives à l’audience d’appel (préparation, relecture du dossier, élaboration + rédaction questions aux parties et plaidoirie) totalisant 240 minutes (4 heures). De même, au vu de l’échange entre le conseil et sa cliente antérieur à la rédaction de la réponse, le temps consacré à la correspondance avec la cliente et les entretiens téléphoniques avec celle-ci, après la rédaction de la réponse, sera ramené à 45 minutes (25 minutes pour la correspondance et 20 minutes pour les entretiens téléphoniques), au lieu de 75 minutes alléguées. Le temps donnant droit aux honoraires sera ainsi réduit à 13 heures et 25 minutes (18 heures et 10 minutes sous déduction de 4 heures et 45 minutes). Au tarif horaire de 180 fr. (art. 2 al. 1 let. a RAJ [Règlement sur l'assistance judiciaire en matière civile du 7 décembre 2010 ; BLV 211.02.3]), le montant des honoraires s'élève à 2'415 fr., auquel s'ajoutent un forfait de vacation de 120 fr., 48 fr. 30 à titre de débours forfaitaires de 2% (art. 3bis al. 1 RAJ), ainsi que la TVA de 7,7% sur le tout, par 198 fr. 90, ce qui donne un total de 2'782 fr. 20. Cette indemnité ne sera versée que si les dépens alloués à l’intimée ne peuvent pas être perçus de l’appelant (art. 122 al. 2 CPC). La bénéficiaire de l’assistance judiciaire est, dans la mesure de l’art. 123 CPC, tenue au remboursement de l'indemnité de son conseil d'office provisoirement laissée à la charge de l'Etat.</w:t>
      </w:r>
    </w:p>
    <w:p>
      <w:r>
        <w:rPr>
          <w:b/>
        </w:rPr>
        <w:t>E. 7.3</w:t>
      </w:r>
    </w:p>
    <w:p>
      <w:r>
        <w:t>Les frais judiciaires de deuxième instance, arrêtés à 600 fr. (art. 65 al. 2 TFJC [tarif des frais judiciaires civils du 28 septembre 2010 ; BLV 270.11.5]), seront mis à la charge de l’appelant, qui succombe (art. 106 al. 1 CPC). L’appelant versera en outre à l’intimée la somme de 2'800 fr. (art. 9 al. 2 TDC [tarif des dépens en matière civile du 23 novembre 2010 ; BLV 270.11.6]) à titre de dépens de deuxième instance (art. 122 al. 1 let. d CPC). Par ces motifs, le Juge délégué de la Cour d’appel civile prononce : I. L’appel est rejeté. II. Le chiffre III du dispositif de l’ordonnance est réformé d’office en ce sens que l’intimée D.________ bénéficiera d’un droit de visite sur sa fille I.________, née le 4 mai 2013, à exercer à raison d’un week-end sur deux, transports à sa charge, du samedi à 8 heures au dimanche à 17 heures. L’ordonnance est confirmée pour le surplus. III. La requête d'assistance judiciaire de l’appelant est rejetée. IV. L’indemnité de Me Nicolas Marthe, conseil d’office de l’intimée, est arrêtée à 2'782 fr. 20 (deux mille sept cent huitante-deux francs et vingt centimes), TVA et débours compris. V. La bénéficiaire de l’assistance judiciaire est, dans la mesure de l’art. 123 CPC, tenue au remboursement de l’indemnité à son conseil d’office laissée provisoirement à la charge de l’Etat. VI. Les frais judiciaires de deuxième instance, arrêtés à 600 fr. (six cents francs), sont mis à la charge de l'appelant B.________. VII. L'appelant B.________ versera à l'intimée D.________ la somme de 2'800 fr. (deux mille huit cents francs) à titre de dépens de deuxième instance. VIII. L’arrêt est exécutoire. Le juge délégué : La greffière: Du Le présent arrêt, dont la rédaction a été approuvée à huis clos, est notifié en expédition complète à : ‑ Me Olivier Bigler, avocat (pour B.________), ‑ Me Nicolas Marthe, avocat (pour D.________). et communiqué, par l'envoi de photocopies, à : ‑ M. le Président du Tribunal d’arrondissement de la Broye et du Nord vaudois - Service de protection de la Jeunesse, ORPM Nord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