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432 vom 29. Juni 2020</w:t>
      </w:r>
    </w:p>
    <w:p>
      <w:r>
        <w:t>VD Tribunal cantonal, 2020-06-29, FR</w:t>
      </w:r>
    </w:p>
    <w:p>
      <w:r>
        <w:rPr>
          <w:b/>
        </w:rPr>
        <w:t xml:space="preserve">Quelle: </w:t>
      </w:r>
      <w:r>
        <w:t>https://mcp.opencaselaw.ch/entscheid/vd_findinfo_HC___2020___432</w:t>
      </w:r>
    </w:p>
    <w:p>
      <w:r>
        <w:t>FR: VD_FINDINFO HC / 2020 / 432 du 29 juin 2020</w:t>
      </w:r>
    </w:p>
    <w:p>
      <w:r>
        <w:t>IT: VD_FINDINFO HC / 2020 / 432 del 29 giugno 2020</w:t>
      </w:r>
    </w:p>
    <w:p>
      <w:pPr>
        <w:pStyle w:val="Heading2"/>
      </w:pPr>
      <w:r>
        <w:t>Regeste</w:t>
      </w:r>
    </w:p>
    <w:p>
      <w:r>
        <w:t>MESURE PROVISIONNELLE, ACTION EN DIVORCE, MODIFICATION DES CIRCONSTANCES, MAXIME OFFICIELLE ET INQUISITOIRE, OBLIGATION D'ENTRETIEN, ADMINISTRATION DES PREUVES | 179 CC, 160 CPC (CH), 164 CPC (CH), 296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rendues en procédure de droit matrimonial étant régies par la procédure sommaire (art. 271 CPC, par renvoi de l'art. 276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y a un intérêt digne de protection (art. 59 al.</w:t>
      </w:r>
    </w:p>
    <w:p>
      <w:r>
        <w:rPr>
          <w:b/>
        </w:rPr>
        <w:t>E. 2</w:t>
      </w:r>
    </w:p>
    <w:p>
      <w:r>
        <w:t>let. a CPC) et portant sur des conclusions dont la valeur, capitalisée conformément à l’art. 92 CPC, est supérieure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 ; Tappy, Les voies de droit du nouveau Code de procédure civile, in : JdT 2010 III 115, spéc. p. 136).</w:t>
      </w:r>
    </w:p>
    <w:p>
      <w:r>
        <w:rPr>
          <w:b/>
        </w:rPr>
        <w:t>E. 2.2</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procédure d'appel, les maximes procédurales sont en principe les mêmes qu'en première instance. Les questions concernant des enfants mineurs sont soumises aux maximes inquisitoire illimitée (art. 296 al. 1 CPC) et d’office (art. 296 al. 3 CPC), le juge n’étant pas lié par les conclusions des parties et l’interdiction de la reformatio in pejus ne s’appliquant pas (ATF 137 III 617 consid. 4.5.2 et 4.5.3, JdT 2014 II 187 ; Jean-Luc Colombini, Code de procédure civile, Condensé de la jurisprudence fédérale et vaudoise, Lausanne 2018, n. 9.4.1 ad art. 311 CPC). Les parties peuvent en outre présenter des faits et moyens de preuve nouveaux en appel même si les conditions de l'art. 317 al. 1 CPC ne sont pas réunies (TF 5A_788/2017 du 2 juillet 2018 consid. 4.2.1).</w:t>
      </w:r>
    </w:p>
    <w:p>
      <w:r>
        <w:rPr>
          <w:b/>
        </w:rPr>
        <w:t>E. 3.1</w:t>
      </w:r>
    </w:p>
    <w:p>
      <w:r>
        <w:t>L'appelante invoque une constatation inexacte des faits, laquelle procéderait par ailleurs d'une violation des art. 147, 160, 164, 193 et 254 CPC. Elle reproche en particulier à la présidente d'avoir ignoré les conséquences du refus injustifié de collaborer (art. 164 CPC, en lien avec l'art. 160 CPC) de l'intimé, en lien avec son défaut (art. 147 CPC) et de s'être fondée sur les déclarations non verbalisées faites par celui-ci à l'audience de conciliation. A cet égard, l'appelante considère que lesdites déclarations, qui n'ont pas été faites dans le cadre de la procédure provisionnelle, n'auraient pas dû être retenues, ce moyen de preuve n'étant pas admissible en procédure sommaire, faute d'être en présence de l'une des exceptions prévues par l'art. 254 al. 2 CPC. Le comportement procédural de l'intimé aurait ainsi dû conduire le premier juge à donner un poids prépondérant aux affirmations de l'appelante, selon lesquelles son époux est capable de contribuer à l'entretien de ses enfants, et ainsi condamner l'intimé à payer les pensions réclamées pour l'entretien de D.X.________ et E.X.________.</w:t>
      </w:r>
    </w:p>
    <w:p>
      <w:r>
        <w:rPr>
          <w:b/>
        </w:rPr>
        <w:t>E. 3.2.1</w:t>
      </w:r>
    </w:p>
    <w:p>
      <w:r>
        <w:t>Aux termes de l'art. 147 CPC, lorsqu'une partie est défaillante, la procédure suit son cours sans qu’il soit tenu compte du défaut, à moins que la loi n’en dispose autrement (al. 2), le tribunal rendant les parties attentives aux conséquences du défaut (al. 3). L'art. 160 CPC consacre l'obligation des parties de collaborer à l'administration des preuves, l'art. 161 al. 1 CPC disposant que le tribunal rend les parties et les tiers attentifs à leur obligation de collaborer et aux conséquences du défaut. Selon l'art. 164 CPC, si une partie refuse de collaborer sans motif valable, le tribunal en tient compte lors de l’appréciation des preuves.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 appréciation des preuves (art. 157 CPC ; TF 5A_651/2014 du 27 janvier 2015 consid. 2.1). Il peut cependant aussi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(Colombini, op. cit., n. 2.2 ad art. 164 CPC et les références citées).</w:t>
      </w:r>
    </w:p>
    <w:p>
      <w:r>
        <w:rPr>
          <w:b/>
        </w:rPr>
        <w:t>E. 3.2.2</w:t>
      </w:r>
    </w:p>
    <w:p>
      <w:r>
        <w:t>Les mesures provisionnelles sont soumises à la procédure sommaire. Aux termes de l'art. 254 CPC, la preuve est rapportée par titres (al. 1) dans ce type de procédure, d’autres moyens de preuve étant notamment admissibles lorsque le tribunal établit les faits d’office (al. 2 let. c). En vertu de l'art. 296 al. 1 CPC, la maxime inquisitoire illimitée s'applique lorsque le juge est saisi de questions relatives aux enfants dans les affaires de droit de la famille.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w:t>
      </w:r>
    </w:p>
    <w:p>
      <w:r>
        <w:rPr>
          <w:b/>
        </w:rPr>
        <w:t>E. 3.2.3</w:t>
      </w:r>
    </w:p>
    <w:p>
      <w:r>
        <w:t>L'art. 168 al. 1 let. f CPC prévoit entre autres moyens de preuve l'interrogatoire des parties. Le juge peut donc en principe se fonder sur cet interrogatoire (TF 5A_113/2015 du 3 juillet 2015 consid. 3.2). Par ailleurs, si la liste des moyens de preuve admissibles de l'art. 168 al. 1 CPC est exhaustive, les dispositions régissant le sort des enfants dans les procédures relevant du droit de la famille sont réservées (art. 168 al. 2 CPC). Le législateur voulait laisser le juge libre de recourir à d'autres moyens de preuve comme, par exemple, des enregistrements d'auditions ou de discussions qui ne se déroulent pas sous la forme classique d'une audition de témoin ou de partie. Une note du tribunal retranscrivant des renseignements obtenus téléphoniquement par le juge est un moyen de preuve admissible dans une telle procédure (TF 5A_991/2015 du 29 septembre 2016 consid. 6.2), de même que des déclarations de voisins, d'assistants ou de pédagogues sociaux non recueillis sous la forme de témoignages (TF 5A_367/2016 du 6 février 2017).</w:t>
      </w:r>
    </w:p>
    <w:p>
      <w:r>
        <w:rPr>
          <w:b/>
        </w:rPr>
        <w:t>E. 3.3</w:t>
      </w:r>
    </w:p>
    <w:p>
      <w:r>
        <w:t>La présente cause concerne exclusivement des questions liées à deux enfants mineurs, si bien que les maximes inquisitoire illimitée et d'office s'appliquent, le juge n'étant lié ni par les faits allégués – ou les moyens de preuve offerts à leur appui – ni par les conclusions des parties. Par ailleurs, conformément à l'art. 168 al. 2 CPC et à la jurisprudence susmentionnée, le premier juge pouvait se fonder sur les déclarations des parties, quel que soit le cadre dans lequel elles sont intervenues – ici en audience de conciliation – et qu'elles aient été protocolées ou non. En outre, l'appelante ne prétend pas que les déclarations de l'intimé, telles que reprises dans l'ordonnance attaquée, seraient inexactes ou incomplètes. Pour le surplus, le fait que les pièces prises en compte par le premier juge s'agissant de la situation financière de l'intimé aient été produites lors de l'audience de conciliation, et non pas dans le cadre de la procédure provisionnelle, est sans pertinence, dès lors que l'autorité établit les faits d'office et peut donc tenir compte de tous les éléments importants dont elle avait connaissance pour prendre une décision ayant trait au sort des enfants. Enfin, les différents postes admis dans les charges de l'intimé constituent un minimum plus que vraisemblable au regard non seulement des déclarations retenues – au demeurant non contestées par l'appelante – mais aussi de l'expérience générale de la vie. Mal fondé, le grief doit être rejeté.</w:t>
      </w:r>
    </w:p>
    <w:p>
      <w:r>
        <w:rPr>
          <w:b/>
        </w:rPr>
        <w:t>E. 4.1</w:t>
      </w:r>
    </w:p>
    <w:p>
      <w:r>
        <w:t>L'appelante invoque une inégalité de traitement et l'arbitraire. Elle reproche au premier juge d'avoir cru sur parole l'intimé s'agissant de ses charges alors que celui-ci n'a produit aucune pièce, d'avoir écarté ses propres déclarations et de lui avoir reproché de ne pas avoir documenté certaines des charges alléguées.</w:t>
      </w:r>
    </w:p>
    <w:p>
      <w:r>
        <w:rPr>
          <w:b/>
        </w:rPr>
        <w:t>E. 4.2</w:t>
      </w:r>
    </w:p>
    <w:p>
      <w:r>
        <w:t>Ce grief se confond dans une large mesure avec les critiques formulées et discutées ci-dessus (cf. consid. 3 supra ), plus particulièrement en ce qui concerne la prise en compte des déclarations de l’intimé et des pièces qu’il a produites au stade de la conciliation, si bien qu’il peut y être renvoyé. Pour le reste, on constate que le premier juge ne s’est fondé sur les déclarations de l’intimé qu’en ce qui concerne sa prime d’assurance-maladie obligatoire et ses frais de transport. La prise en compte de ces montants n'est pas critiquable, dès lors qu'ils constituent un minimum plus que vraisemblable au regard non seulement des déclarations retenues, au demeurant non contestées par l'appelante, mais également de l'expérience générale de la vie. Enfin, et dans la mesure où le grief se rapporte aux charges et revenus de chaque partie, la critique sera examinée ci-dessous (consid. 6 infra ).</w:t>
      </w:r>
    </w:p>
    <w:p>
      <w:r>
        <w:rPr>
          <w:b/>
        </w:rPr>
        <w:t>E. 5.1</w:t>
      </w:r>
    </w:p>
    <w:p>
      <w:r>
        <w:t>Invoquant une violation des art. 179 CC (Code civil suisse du 10 décembre 1907 ; RS 210) et 276 CPC, l’appelante rappelle que les parties ont signé une convention de mesures protectrices de l’union conjugale en 2013 et qu’il est à ce jour impossible de connaitre l’évolution de la situation de l’intimé, celui-ci n’ayant pas procédé.</w:t>
      </w:r>
    </w:p>
    <w:p>
      <w:r>
        <w:rPr>
          <w:b/>
        </w:rPr>
        <w:t>E. 5.2</w:t>
      </w:r>
    </w:p>
    <w:p>
      <w:r>
        <w:t>Une fois que des mesures provisionnelles dans la procédure en divorce ont été ordonnées, elles ne peuvent être modifiées qu'aux conditions de l'art. 179 CC (applicable par renvoi de l'art. 276 al. 1 CPC). Aux termes de l'art. 179 al. 1 1 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TF 5A_842/2015 du 26 mai 2016 consid. 2.4.2, non publié in ATF 142 III 518).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5A_218/2012 du 29 juin 2012 consid. 3.3.2, in : FamPra.ch 2012 p. 1099).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5A_64/2018 précité, consid. 3.1 ; TF 5A_151/2016 précité, consid. 3.1 ; TF 5A_33/2015 précité, consid. 4.1). Ainsi, une augmentation de charge minime ne saurait être prise en considération, sous peine de modifier la contribution d’entretien à chaque petit changement de circonstances (Juge délégué CACI 24 avril 2014/207).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Les possibilités de modifier des mesures provisionnelles reposant sur une convention sont limitées.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rPr>
          <w:b/>
        </w:rPr>
        <w:t>E. 5.3</w:t>
      </w:r>
    </w:p>
    <w:p>
      <w:r>
        <w:t>Il ressort de la convention du 21 octobre 2013 que le salaire mensuel de l’intimé à cette époque était de 5'935 fr. net sur douze mois, part au treizième salaire incluse. Cette convention a été ratifiée pour valoir ordonnance de mesures protectrices de l’union conjugale le 27 novembre 2013. Or, ce salaire a diminué de manière essentielle et durable, comme cela résulte des pièces produites par l'intimé. Ainsi, ce dernier a émargé à l’aide sociale entre le 22 octobre 2017 et le 28 février 2018. Il est employé au sein de l’entreprise bailleresse de services [...] depuis le mois de mars 2018. Selon son certificat de salaire pour l’année 2018, il a réalisé un salaire net de 39'838 fr. pour la période courant du 19 mars 2018 au 31 décembre 2018, représentant un salaire mensuel net de 4’193 fr, 50. L’intimé a en outre produit un contrat de mission dont il ressort qu’il est placé au sein de la société [...], à Vevey, depuis le 9 janvier 2019. Les fiches de salaire produites démontrent que la situation financière de l’intimé ne s'est pas améliorée depuis 2018. Il ressort de ce qui précède que les revenus mensuels de l’intimé ont subi une baisse de quelque 30 %, ce qui constitue une modification essentielle et durable.</w:t>
      </w:r>
    </w:p>
    <w:p>
      <w:r>
        <w:rPr>
          <w:b/>
        </w:rPr>
        <w:t>E. 6.1</w:t>
      </w:r>
    </w:p>
    <w:p>
      <w:r>
        <w:t>L'appelante critique certaines charges retenues par le premier juge, invoquant une violation des principes applicables en matière de fixation des contributions d'entretien.</w:t>
      </w:r>
    </w:p>
    <w:p>
      <w:r>
        <w:rPr>
          <w:b/>
        </w:rPr>
        <w:t>E. 6.2.1</w:t>
      </w:r>
    </w:p>
    <w:p>
      <w:r>
        <w:t>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(cf. Juge délégué CACI 28 mars 2017/128 consid. 3.1 ; Olivier Guillod, La détermination de l'entretien de l'enfant, in : Le nouveau droit de l'entretien de l'enfant et du partage de la prévoyance, Bâle 2016, n. 46 ss et les références citées ; Patrick Stoudmann, Le nouveau droit de l'entretien de l'enfant en pratique : ce qui change et ce qui reste, in : RMA 6/2016 p. 427 ss ; Daniel Bähler, Unterhaltsberechnungen – von der Methode zu den Franken, in : FamPra.ch 1/2015, p. 322 ss). L'addition des coûts directs de l'enfant – éventuellement pondérés en fonction de la prise en charge effective de chaque parent – et de la contribution de prise en charge constituera le montant dû à titre de contribution d'entretien pour l'enfant (ATF 144 III 377 consid. 7.1.2 et 7.1.3 et les références citées ; Juge délégué CACI 28 mars 2017/128 consid. 3.1 et les références citées). Aucune contribution de prise en charge n'est due lorsque l'absence de gain résulte d'une autre cause que la prise en charge de l'enfant (Jonas Schweighauser, in : Schwenzer/Fankhauser [édit.], FamKommentar Scheidung, vol. I, 3 e éd., Berne 2017, n. 77 ad art. 285 CC; Stephan Hartmann, Betreuungsunterhalt - Überlegungen zur Methode der Unterhaltsbemessung, in : RJB 2017 p. 101). La contribution d'entretien ne doit pas dépasser les limites de la capacité contributive économique du parent débirentier, dont le minimum vital au sens du droit des poursuites doit être préservé (ATF 137 III 59, JdT 2011 II 359 consid. 4.2.1 ; TF 5A_634/2013 du 12 mars 2014 consid. 3.1.2).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5A_584/2018 du 10 octobre 2018 consid. 4.3 et les arrêts cités). En cas de garde alternée, plusieurs méthodes peuvent être envisagées pour tenir compte de la répartition des charges de l’enfant entre les parents, soit notamment la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 Juge délégué CACI 6 mai 2019/259 consid. 5.2.2). Doivent être déduits de la pension les frais liés à l’entretien de l’enfant directement acquittés par le parent débiteur (cf. Juge déléguée CACI 24 janvier 2020/39 consid. 8.2.1 et 8.3.2 ; Juge délégué CACI 3 avril 2019/184 consid. 10.2).</w:t>
      </w:r>
    </w:p>
    <w:p>
      <w:r>
        <w:rPr>
          <w:b/>
        </w:rPr>
        <w:t>E. 6.2.2</w:t>
      </w:r>
    </w:p>
    <w:p>
      <w:r>
        <w:t>Les besoins des parties sont déterminés en prenant, comme point de départ, le minimum d'existence du droit des poursuites, lequel se compose d'un montant de base – frais pour l’alimentation, les vêtements et le linge y compris leur entretien, les soins corporels et de santé, l'entretien du logement, le téléphone, la télévision, les assurances privées, les frais culturels ainsi que les dépenses pour l’éclairage, le courant électrique ou le gaz pour cuisiner etc. – et de suppléments, qualifiés de dépenses indispensables ou charges incompressibles. Celles-ci comprennent notamment le loyer et les dépenses indispensables à l'exercice d'une profession, notamment d'éventuels frais de déplacement (sur le tout : Juge délégué CACI 30 avril 2018/264 ; Lignes directrices pour le calcul du minimum vital du droit des poursuites selon l'art. 93 LP établies par la Conférence des préposés aux poursuites et faillites de Suisse du 1 er juillet 2009, in : Bulletin des poursuites et faillites [BlSchK] 2009 p. 196 ss). S'ajoutent au minimum d'existence du droit des poursuites les dépenses non strictement nécessaires afin d'obtenir le minimum vital de droit de la famille, plus ou moins élargi selon la situation financière des époux. Il s'agira ainsi, selon les circonstances, de tenir compte des frais liés à l'exercice du droit de visite, des impôts ou encore des dettes contractées d'entente pour l'entretien du ménage (François Chaix, in : Pichonnaz/Foëx [édit.], Commentaire romand, Code civil I, Bâle 2010, n. 9 ad art. 176 CC et les références citées ; Françoise Bastons Bulletti, L'entretien après divorce : méthodes de calcul, montant, durée et limites, in : SJ 2007 II 84-88).</w:t>
      </w:r>
    </w:p>
    <w:p>
      <w:r>
        <w:rPr>
          <w:b/>
        </w:rPr>
        <w:t>E. 6.2.3</w:t>
      </w:r>
    </w:p>
    <w:p>
      <w:r>
        <w:t>Si la situation financière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et que l'utilisation des transports publics ne peut être exigée de l'intéressé (TF 5A_845/2012 du 2 octobre 2013 consid. 3.3 et les références citées ; TF 5A_703/2011 du 7 mars 2012 consid. 4.2). Ces frais grèvent en revanche le disponible d'un époux qui utilise le véhicule pour ses loisirs, y compris pour un exercice plus commode du droit de visite des enfants (TF 5A_65/2013 du 4 septembre 2013 consid. 3.1.2). Si les moyens des parties sont limités par rapport aux besoins vitaux, il n'y a pas lieu de prendre en considération les impôts courants, qui ne font pas partie des besoins vitaux (ATF 127 III 289 consid. 2a/bb ; ATF126 III 3563 consid. 1a/aa), ni les arriérés d'impôts (ATF 149 III 337 consid. 4.4, JdT 2015 II 227 ; TF 5A_779/2015 du 12 juillet 2016 consid. 5.2, in : FamPra.ch 2016 p. 976). Ce principe s'applique non seulement pour les contributions d'entretien dues dans le cadre de mesures protectrices de l'union conjugale (TF 5A_302/2011 du 30 septembre 2011 consid. 6.3.1, in : FamPra.ch2012 p. 106 ; TF 5A_511/2010 du 4 février 2011 consid. 2.2.3), mais aussi pour les pensions dues pour l'entretien des enfants et du conjoint après divorce (TF 5A_332/2013 du 18 septembre 2013 consid. 4.1 et les références citées). En revanche, lorsque la contribution est calculée conformément à la méthode dite du minimum vital avec répartition de l'excédent et que les conditions financières des parties sont favorables, il faut prendre en considération la charge fiscale courante (TF 5A_302/2011 précité, consid. 6.3.1 ; TF 5A_732/2007 du 4 avril 2008 consid. 2.1). Ce principe s'applique aussi aux mesures protectrices de l'union conjugale et aux mesures provisionnelles (TF 5A_219/2014 du 26 juin 2014 consid. 4.2.1 ; TF 5A_508/2011 du 21 novembre 2011 consid. 4.2.5 ; TF 5A_511/2010 précité, consid. 2.2.3). Le Tribunal fédéral a considéré qu'un solde de plus de 500 fr. à répartir entre les époux justifiait que la charge fiscale courante d'impôts soit prise en considération (TF 5A_511/2010 précité, ibidem ; TF 5A_302/2011 précité, ibidem ). Il y a lieu de préciser que l'excédent éventuel à partager selon la jurisprudence précitée  doit être déterminé en tenant compte de la charge fiscale des époux ; le contraire reviendrait en effet, si l'on prenait le montant de 500 fr. retenu par la jurisprudence sans égard à la charge fiscale, à admettre que ce montant puisse être affecté au paiement des impôts et que le solde de ceux-ci entame le minimum vital (Juge délégué CACI 15 août 2018/467 ;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précité, consid. 4.2.2 et 4.3).</w:t>
      </w:r>
    </w:p>
    <w:p>
      <w:r>
        <w:rPr>
          <w:b/>
        </w:rPr>
        <w:t>E. 6.3.1</w:t>
      </w:r>
    </w:p>
    <w:p>
      <w:r>
        <w:t>L'appelante reproche tout d'abord au premier juge d'avoir retenu pour l'intimé un salaire mensuel net de 4'193 fr. 50, ainsi que des charges qui ne sont ni documentées, ni expliquées. Il résulte des pièces produites par l'intimé que celui-ci a réalisé, du 19 mars 2018 au 31 décembre 2018, un salaire net de 39'838 fr., ce qui correspond à un salaire mensuel de 4'193 fr. 50. Les pièces produites pour l'année 2019 démontrent qu'il a réalisé un salaire mensuel net de 3'292 fr. 60 en février 2019 et de 4'331 fr. en mars 2019, soit un salaire moyen inférieur à 4'193 fr. 50. Toutefois, l'intimé n'ayant pas produit l'ensemble des fiches de salaire pour 2019 ni celles relatives à 2020, on doit, avec le premier juge, retenir le salaire moyen réalisé en 2018, à savoir un revenu de 4'193 fr. 50. On rappelle encore que l'intimé a émargé à l'aide sociale entre 2017 et 2018 et que selon les déclarations de l'appelante, il n'aurait pas payé la pension due depuis 2015, accumulant un arriéré conséquent. L'ensemble de ces éléments atteste que la situation de l’intimé est plus précaire qu'au moment de la signature de la convention de 2013. S'agissant des charges de l'intimé, on doit retenir le montant de son loyer tel qu'il ressort du contrat de bail produit, à hauteur de 2'260 fr. par mois. S'il est vrai que ce loyer peut paraître élevé pour un appartement de 3 pièces et demi à [...] – étant toutefois relevé qu'une place de parc est comprise dans ce montant – il ne serait pas aisé pour l'intimé de trouver rapidement un appartement moins cher, compte tenu notamment de la forte demande pour ce type de logement sur l'arc lémanique et des montants globalement élevés des loyers dans la région. Une brève recherche sur le site comparis.ch permet en effet de constater que le loyer moyen des appartements de trois pièces et demie disponibles à [...] se monte à quelque 2'000 fr. par mois. De plus, il est préférable que l'intimé puisse demeurer à [...], compte tenu de la garde partagée exercée par les parties sur leurs enfants. Au vu de ces éléments, on ne saurait, au stade des mesures provisionnelles, imputer un loyer hypothétique inférieur à l'intimé, étant toutefois précisé que ce dernier serait bien inspiré de rechercher un appartement moins onéreux, compte tenu de sa situation financière globale. S’agissant des autres charges de l’intimé, l’ordonnance attaquée peut être confirmée ; il est en effet évident qu’il doit se déplacer jusqu’à son lieu de travail, générant des frais d’acquisition du revenu. A cet égard, le montant de 74 fr. par mois retenu, lequel correspond au prix d’un abonnement aux transports publics, est adéquat. Il en va de même des frais d’assurance-maladie obligatoire. Les charges précitées sont usuelles et doivent être admises. Il n’y a aucun motif de douter des déclarations de l’intimé à ce sujet et les chiffre retenus ne sont, en soi, ni contestés ni contestables. En revanche, le montant de base mensuel retenu (1'200 fr.) doit être augmenté à 1'350 fr., compte tenu de la garde partagée que les parties exercent sur leurs enfants. Il n'y a pas lieu de faire de différence entre les parties à ce sujet. Partant, le revenu réalisé par l'intimé s'élève à 4'193 fr. 50 et ses charges à 3'294 fr. 20 (cf. let. C/5/b supra ). Ainsi, l’excédent mensuel de l’intimé se monte à 899 fr. 30.</w:t>
      </w:r>
    </w:p>
    <w:p>
      <w:r>
        <w:rPr>
          <w:b/>
        </w:rPr>
        <w:t>E. 6.3.2</w:t>
      </w:r>
    </w:p>
    <w:p>
      <w:r>
        <w:t>L’appelante fait également grief au premier juge de ne pas avoir retenu ses frais de véhicule pourtant documentés, ni sa charge fiscale au motif que celle-ci n’était pas documentée. L’appelante allègue parcourir environ 100 km par semaine pour véhiculer ses enfants à leurs activités hebdomadaires respectives. Reste que selon les allégués formulés dans la requête de mesures provisionnelles du 20 novembre 2019 et les pièces du dossier, E.X.________ pratique le football à [...], commune de domicile des parties. Il doit par conséquent être en mesure de se rendre à ses entraînements à pied, à vélo ou en bus, étant relevé que des frais de transports ont été portés aux coûts directs de l’enfant par le premier juge. Quant à D.X.________, il n’exerce aucune activité extrascolaire, selon les propres déclarations de l’appelante à ce sujet. Au regard de ces éléments, on ne peut retenir de charge relative aux frais de véhicule de l’intimée, celle-ci n’ayant pas démontré en avoir besoin, que ce soit pour le transport de ses enfants ou son activité professionnelle, laquelle est également exercée à [...]. On soulignera par surabondance que D.X.________ et E.X.________ sont âgés de respectivement 16 et 13 ans, si bien qu’ils peuvent se rendre seuls, en transports en commun, à toute éventuelle activité extrascolaire, même en-dehors de [...]. En ce qui concerne les frais de téléphone ainsi que d’assurance ECA et RC ménage allégués par l’appelante, ils sont compris dans le montant de base mensuel de 1'350 francs. S’agissant de la charge fiscale, on peut admettre qu’elle correspond à celle qui est alléguée par l’appelante. Cette charge doit en outre être retenue, compte tenu du disponible du couple, celui de l’intimé étant de 899 fr. 30 et celui de l’appelante de 2'059 fr. 25 (cf. let. C/5/a supra ). Le fait que la charge fiscale de l’intimé ne soit pas prise en compte ne prête pas le flanc à la critique, celui-ci n’ayant rien allégué ni prouvé en la matière. Pour les mêmes motifs, des frais d’assurance-maladie complémentaire par 53 fr. 30 (tels qu’ils ressortent de la pièce produite à cet égard) ont été être portés aux charges de l’appelante.</w:t>
      </w:r>
    </w:p>
    <w:p>
      <w:r>
        <w:rPr>
          <w:b/>
        </w:rPr>
        <w:t>E. 6.3.3</w:t>
      </w:r>
    </w:p>
    <w:p>
      <w:r>
        <w:t>En ce qui concerne les coûts directs des enfants, l’appelante reproche au premier juge de ne pas avoir tenu compte de frais de loisirs pour D.X.________ ; celui-ci n’a toutefois pas d’activité extrascolaire, si bien qu’aucune charge à cet égard ne peut être portée à ses coûts directs. S’agissant des frais dentaires d’E.X.________, il sied de rappeler que l’ordonnance entreprise tranche cette question en statuant sur les frais extraordinaires des enfants, lesquels doivent être assumés par chacune des parties par moitié. Les frais concernant le traitement dentaire d’E.X.________ étant compris dans ces frais extraordinaires, ils ne sauraient être portés à ses coûts directs. Enfin, les cotisations au 3 e pilier ne constituent pas des coûts directs des enfants mais des montants servant à la constitution du patrimoine (TF 5A_608/2011 du 13 décembre 2011 consid. 6.2.3), si bien qu'il n'y a pas lieu d'en tenir compte. En définitive, les coûts directs des enfants, tel qu’arrêtés par le premier juge (cf. let. C/5/c supra ) à 1’215 fr. 15 pour D.X.________ et à 898 fr. 90 pour E.X.________, peuvent être entièrement confirmés.</w:t>
      </w:r>
    </w:p>
    <w:p>
      <w:r>
        <w:rPr>
          <w:b/>
        </w:rPr>
        <w:t>E. 6.3.4</w:t>
      </w:r>
    </w:p>
    <w:p>
      <w:r>
        <w:t>Critiquant la méthode de calcul des contributions d’entretien, l’appelante reproche au premier juge de ne pas avoir tenu compte de la prise en charge des enfants, dans la mesure où elle doit se rendre disponible pour eux, au point de ne pas pouvoir travailler à 100 %. On relèvera premièrement que l’appelante travaille à 90 %, la différence avec un plein temps étant minime. Quoi qu’il en soit, l’appelante n’accuse pas de déficit en raison de la prise en charge des enfants (cf. consid. 6.2.1 supra ), toute contribution de prise en charge étant exclue. Ainsi, conformément à la jurisprudence exposée ci-dessus, les coûts directs des enfants peuvent être répartis en proportion du solde disponible respectif de leurs parents. En l’occurrence, le disponible du couple se monte à 2'958 fr. 55 (889 fr. 30 + 2'059 fr. 25), l'excédent mensuel de l’intimé en représentant le 30 %. Celui-ci est ainsi censé contribuer à hauteur de 364 fr. 55 (30 % de 1'215 fr. 15) aux coûts directs de D.X.________ et de 269 fr. 65 (30 % de 898 fr.90) à ceux d’E.X.________. Ces montants sont toutefois entièrement absorbés par la part au loyer de l’intimé consacrée aux enfants (2 x 339 fr.). Dans ces conditions, l’intimé ne doit aucune contribution à l’entretien de ses enfants.</w:t>
      </w:r>
    </w:p>
    <w:p>
      <w:r>
        <w:rPr>
          <w:b/>
        </w:rPr>
        <w:t>E. 7</w:t>
      </w:r>
    </w:p>
    <w:p>
      <w:r>
        <w:t>L’intimé n’étant pas astreint à contribuer à l’entretien de ses enfants, la violation de l’art. 291 CC – en réalité 177 CC, par renvoi de l’art. 276 CPC – invoquée par l’appelante est sans objet.</w:t>
      </w:r>
    </w:p>
    <w:p>
      <w:r>
        <w:rPr>
          <w:b/>
        </w:rPr>
        <w:t>E. 8.1</w:t>
      </w:r>
    </w:p>
    <w:p>
      <w:r>
        <w:t>Dans un dernier moyen, l’appelante invoque un déni de justice formel pour retard injustifié.</w:t>
      </w:r>
    </w:p>
    <w:p>
      <w:r>
        <w:rPr>
          <w:b/>
        </w:rPr>
        <w:t>E. 8.2</w:t>
      </w:r>
    </w:p>
    <w:p>
      <w:r>
        <w:t>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213 consid. 5.2 ; TF 2C_1014/2013 du 22 août 2014 consid. 7.1, non publié in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(au sens large), alors qu’il n’a entrepris aucune démarche auprès de l’autorité précédente afin de remédier à cette situation (ATF 125 V 373 consid. 2b/aa ; TF 5A_721/2015 du 20 novembre 2015 consid. 3).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op. cit., n. 5.3.2 ad art. 319 CPC et les références citées). Dans des cas exceptionnels, un déni de justice peut résulter d’actes positifs de l’autorité, comme l’administration de preuves inutiles ou des prolongations de délai injustifiées (Colombini, op. cit., n. 5.3.4 ad art. 319 CPC et les références citées).</w:t>
      </w:r>
    </w:p>
    <w:p>
      <w:r>
        <w:rPr>
          <w:b/>
        </w:rPr>
        <w:t>E. 8.3</w:t>
      </w:r>
    </w:p>
    <w:p>
      <w:r>
        <w:t>En l’espèce, l’appelante aurait pu interpeller le premier juge, voire interjeter un recours au sens des art. 319 ss CPC pour se plaindre d’un éventuel retard injustifié avant le prononcé de l’ordonnance attaquée, ce qu’elle n’a toutefois pas fait. Partant, elle ne saurait invoquer un tel grief à ce stade. Par ailleurs, la durée de la procédure n'est pas objectivement critiquable, l’audience de mesures provisionnelles s’étant tenue le 13 janvier 2020 et l’ordonnance entreprise ayant été rendue le 30 avril 2020.</w:t>
      </w:r>
    </w:p>
    <w:p>
      <w:r>
        <w:rPr>
          <w:b/>
        </w:rPr>
        <w:t>E. 9</w:t>
      </w:r>
    </w:p>
    <w:p>
      <w:r>
        <w:t>Au vu de ce qui précède, l’appel, manifestement infondé, doit être rejeté selon le mode procédural de l'art. 312 al. 1 in fine CPC. L’appelante a requis l’assistance judiciaire pour la procédure de deuxième instance. Compte du fait que l’appel apparaissait dépourvu de toute chance de succès (art. 117 let. b CPC), cette requête est rejetée. Les frais judiciaires de deuxième instance, arrêtés à 600 fr. (art. 65 al. 2 TFJC [tarif des frais judiciaires civils ; BLV 270.11.5]), sont mis à la charge de l’appelante (art. 106 al. 1 CPC). L’intimé n’ayant pas été invité à se déterminer, il n’y a pas lieu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l’appelante H.X.________. V. L’arrêt, rendu sans dépens, est exécutoire. La juge déléguée : La greffière : Du Le présent arrêt, dont la rédaction a été approuvée à huis clos, est notifié en expédition complète à : ‑ Me Alessandro Brenci, pour H.X.________, ‑ G.X.________ personnellement,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