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36 vom 23. Januar 2020</w:t>
      </w:r>
    </w:p>
    <w:p>
      <w:r>
        <w:t>VD Tribunal cantonal, 2020-01-23, FR</w:t>
      </w:r>
    </w:p>
    <w:p>
      <w:r>
        <w:rPr>
          <w:b/>
        </w:rPr>
        <w:t xml:space="preserve">Quelle: </w:t>
      </w:r>
      <w:r>
        <w:t>https://mcp.opencaselaw.ch/entscheid/vd_findinfo_HC___2020___36</w:t>
      </w:r>
    </w:p>
    <w:p>
      <w:r>
        <w:t>FR: VD_FINDINFO HC / 2020 / 36 du 23 janvier 2020</w:t>
      </w:r>
    </w:p>
    <w:p>
      <w:r>
        <w:t>IT: VD_FINDINFO HC / 2020 / 36 del 23 gennaio 2020</w:t>
      </w:r>
    </w:p>
    <w:p>
      <w:pPr>
        <w:pStyle w:val="Heading2"/>
      </w:pPr>
      <w:r>
        <w:t>Regeste</w:t>
      </w:r>
    </w:p>
    <w:p>
      <w:r>
        <w:t>OBLIGATION D'ENTRETIEN, ENFANT, ACTION EN PAIEMENT D'ENTRETIEN, AVANCE DE FRAIS | 285 CC</w:t>
      </w:r>
    </w:p>
    <w:p>
      <w:pPr>
        <w:pStyle w:val="Heading2"/>
      </w:pPr>
      <w:r>
        <w:t>Erwägungen</w:t>
      </w:r>
    </w:p>
    <w:p>
      <w:r>
        <w:rPr>
          <w:b/>
        </w:rPr>
        <w:t>E. 10.1</w:t>
      </w:r>
    </w:p>
    <w:p>
      <w:r>
        <w:t>En définitive, l’appel, manifestement mal fondé, doit être rejeté et l’ordonnance confirmée.</w:t>
      </w:r>
    </w:p>
    <w:p>
      <w:r>
        <w:rPr>
          <w:b/>
        </w:rPr>
        <w:t>E. 10.2</w:t>
      </w:r>
    </w:p>
    <w:p>
      <w:r>
        <w:t>Vu l’issue de l’appel, les frais judiciaires de deuxième instance, arrêtés à 1'200 fr. (art. 65 al. 4 TFJC [Tarif des frais judiciaires civils du 28 septembre 2010 ; BLV 270.11.5]), seront mis à la charge de l’appelante (art. 106 al. 1 CPC). Il n'y a pas lieu à l'allocation de dépens de deuxième instance dès lors que l'intimé n'a pas été invité à se déterminer (art. 312 al. 1 in fine CPC). Par ces motifs, la Juge déléguée de la Cour d’appel civile prononce : I. L’appel est rejeté. II. L’ordonnance est confirmée. III. Les frais judiciaires de deuxième instance, arrêtés à 1'200 fr. (mille deux cents francs), sont mis à la charge de l’appelante A.S.________. IV. L’arrêt est exécutoire. La juge déléguée : Le greffier : Du Le présent arrêt, dont la rédaction a été approuvée à huis clos, est notifié en expédition complète à : ‑ Me José Coret (pour A.S.________), ‑ Me Jean-Samuel Leuba (pour X.________),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